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comgrade"/>
        <w:tblW w:w="9354" w:type="dxa"/>
        <w:tblLayout w:type="fixed"/>
        <w:tblLook w:val="04A0"/>
      </w:tblPr>
      <w:tblGrid>
        <w:gridCol w:w="1267"/>
        <w:gridCol w:w="1701"/>
        <w:gridCol w:w="9"/>
        <w:gridCol w:w="421"/>
        <w:gridCol w:w="5956"/>
      </w:tblGrid>
      <w:tr w:rsidR="00D677D8">
        <w:tc>
          <w:tcPr>
            <w:tcW w:w="9354" w:type="dxa"/>
            <w:gridSpan w:val="5"/>
            <w:tcBorders>
              <w:top w:val="nil"/>
              <w:left w:val="nil"/>
              <w:bottom w:val="nil"/>
              <w:right w:val="nil"/>
            </w:tcBorders>
            <w:shd w:val="clear" w:color="auto" w:fill="FFFFFF" w:themeFill="background1"/>
          </w:tcPr>
          <w:p w:rsidR="00D677D8" w:rsidRDefault="005964FB">
            <w:pPr>
              <w:spacing w:line="276" w:lineRule="auto"/>
              <w:ind w:right="-2" w:hanging="2"/>
              <w:jc w:val="center"/>
              <w:rPr>
                <w:sz w:val="22"/>
                <w:szCs w:val="22"/>
              </w:rPr>
            </w:pPr>
            <w:r>
              <w:rPr>
                <w:b/>
                <w:bCs/>
                <w:sz w:val="22"/>
                <w:szCs w:val="22"/>
              </w:rPr>
              <w:t>ESTUDO TÉCNICO PRELIMINAR (ETP)</w:t>
            </w:r>
          </w:p>
        </w:tc>
      </w:tr>
      <w:tr w:rsidR="00D677D8">
        <w:tc>
          <w:tcPr>
            <w:tcW w:w="9354" w:type="dxa"/>
            <w:gridSpan w:val="5"/>
            <w:tcBorders>
              <w:top w:val="nil"/>
              <w:left w:val="nil"/>
              <w:bottom w:val="nil"/>
              <w:right w:val="nil"/>
            </w:tcBorders>
            <w:shd w:val="clear" w:color="auto" w:fill="365F91" w:themeFill="accent1" w:themeFillShade="BF"/>
          </w:tcPr>
          <w:p w:rsidR="00D677D8" w:rsidRDefault="005964FB">
            <w:pPr>
              <w:spacing w:line="276" w:lineRule="auto"/>
              <w:ind w:right="-2" w:hanging="2"/>
              <w:jc w:val="both"/>
              <w:rPr>
                <w:sz w:val="22"/>
                <w:szCs w:val="22"/>
              </w:rPr>
            </w:pPr>
            <w:r>
              <w:rPr>
                <w:b/>
                <w:bCs/>
                <w:color w:val="FFFFFF" w:themeColor="background1"/>
                <w:sz w:val="22"/>
                <w:szCs w:val="22"/>
              </w:rPr>
              <w:t>I - INFORMAÇÕES GERAIS</w:t>
            </w:r>
          </w:p>
        </w:tc>
      </w:tr>
      <w:tr w:rsidR="00D677D8">
        <w:tc>
          <w:tcPr>
            <w:tcW w:w="9354" w:type="dxa"/>
            <w:gridSpan w:val="5"/>
            <w:tcBorders>
              <w:top w:val="nil"/>
              <w:left w:val="nil"/>
              <w:bottom w:val="nil"/>
              <w:right w:val="nil"/>
            </w:tcBorders>
            <w:shd w:val="clear" w:color="auto" w:fill="FFFFFF" w:themeFill="background1"/>
          </w:tcPr>
          <w:p w:rsidR="00D677D8" w:rsidRDefault="00D677D8">
            <w:pPr>
              <w:spacing w:line="276" w:lineRule="auto"/>
              <w:ind w:right="-2" w:hanging="2"/>
              <w:jc w:val="both"/>
              <w:rPr>
                <w:b/>
                <w:bCs/>
                <w:sz w:val="20"/>
                <w:szCs w:val="20"/>
              </w:rPr>
            </w:pPr>
          </w:p>
        </w:tc>
      </w:tr>
      <w:tr w:rsidR="00D677D8">
        <w:tc>
          <w:tcPr>
            <w:tcW w:w="2977" w:type="dxa"/>
            <w:gridSpan w:val="3"/>
            <w:tcBorders>
              <w:top w:val="single" w:sz="12" w:space="0" w:color="000000"/>
              <w:left w:val="single" w:sz="12" w:space="0" w:color="000000"/>
              <w:bottom w:val="nil"/>
              <w:right w:val="single" w:sz="12" w:space="0" w:color="000000"/>
            </w:tcBorders>
            <w:shd w:val="clear" w:color="auto" w:fill="DBE5F1" w:themeFill="accent1" w:themeFillTint="33"/>
          </w:tcPr>
          <w:p w:rsidR="00D677D8" w:rsidRDefault="005964FB">
            <w:pPr>
              <w:pStyle w:val="PargrafodaLista"/>
              <w:numPr>
                <w:ilvl w:val="0"/>
                <w:numId w:val="1"/>
              </w:numPr>
              <w:spacing w:line="276" w:lineRule="auto"/>
              <w:ind w:left="0" w:right="-2" w:firstLine="142"/>
              <w:jc w:val="both"/>
              <w:rPr>
                <w:rFonts w:eastAsia="SimSun"/>
                <w:b/>
                <w:bCs/>
                <w:kern w:val="2"/>
                <w:sz w:val="20"/>
                <w:szCs w:val="20"/>
                <w:lang w:eastAsia="zh-CN" w:bidi="hi-IN"/>
              </w:rPr>
            </w:pPr>
            <w:r>
              <w:rPr>
                <w:rFonts w:eastAsia="SimSun"/>
                <w:b/>
                <w:bCs/>
                <w:kern w:val="2"/>
                <w:sz w:val="20"/>
                <w:szCs w:val="20"/>
                <w:lang w:eastAsia="zh-CN" w:bidi="hi-IN"/>
              </w:rPr>
              <w:t>Número do Processo</w:t>
            </w:r>
          </w:p>
          <w:p w:rsidR="00D677D8" w:rsidRDefault="005964FB">
            <w:pPr>
              <w:spacing w:line="276" w:lineRule="auto"/>
              <w:ind w:right="-2" w:firstLine="142"/>
              <w:jc w:val="both"/>
              <w:rPr>
                <w:sz w:val="20"/>
                <w:szCs w:val="20"/>
              </w:rPr>
            </w:pPr>
            <w:r>
              <w:rPr>
                <w:rFonts w:eastAsia="SimSun"/>
                <w:b/>
                <w:bCs/>
                <w:kern w:val="2"/>
                <w:sz w:val="20"/>
                <w:szCs w:val="20"/>
                <w:lang w:eastAsia="zh-CN" w:bidi="hi-IN"/>
              </w:rPr>
              <w:t>Administrativo:</w:t>
            </w:r>
          </w:p>
        </w:tc>
        <w:tc>
          <w:tcPr>
            <w:tcW w:w="6377" w:type="dxa"/>
            <w:gridSpan w:val="2"/>
            <w:tcBorders>
              <w:top w:val="single" w:sz="12" w:space="0" w:color="000000"/>
              <w:left w:val="single" w:sz="12" w:space="0" w:color="000000"/>
              <w:right w:val="single" w:sz="12" w:space="0" w:color="000000"/>
            </w:tcBorders>
            <w:shd w:val="clear" w:color="auto" w:fill="FFFFFF" w:themeFill="background1"/>
          </w:tcPr>
          <w:p w:rsidR="00D677D8" w:rsidRDefault="005964FB">
            <w:pPr>
              <w:spacing w:line="276" w:lineRule="auto"/>
              <w:ind w:right="-2" w:firstLine="142"/>
              <w:jc w:val="both"/>
              <w:rPr>
                <w:sz w:val="20"/>
                <w:szCs w:val="20"/>
              </w:rPr>
            </w:pPr>
            <w:r>
              <w:rPr>
                <w:rFonts w:eastAsia="SimSun"/>
                <w:b/>
                <w:bCs/>
                <w:color w:val="FF0000"/>
                <w:kern w:val="2"/>
                <w:sz w:val="20"/>
                <w:szCs w:val="20"/>
                <w:lang w:eastAsia="zh-CN" w:bidi="hi-IN"/>
              </w:rPr>
              <w:t>_____</w:t>
            </w:r>
            <w:r>
              <w:rPr>
                <w:rFonts w:eastAsia="SimSun"/>
                <w:b/>
                <w:bCs/>
                <w:kern w:val="2"/>
                <w:sz w:val="20"/>
                <w:szCs w:val="20"/>
                <w:lang w:eastAsia="zh-CN" w:bidi="hi-IN"/>
              </w:rPr>
              <w:t>/2025</w:t>
            </w:r>
          </w:p>
        </w:tc>
      </w:tr>
      <w:tr w:rsidR="00D677D8">
        <w:tc>
          <w:tcPr>
            <w:tcW w:w="9354" w:type="dxa"/>
            <w:gridSpan w:val="5"/>
            <w:tcBorders>
              <w:left w:val="nil"/>
              <w:bottom w:val="nil"/>
              <w:right w:val="nil"/>
            </w:tcBorders>
            <w:shd w:val="clear" w:color="auto" w:fill="FFFFFF" w:themeFill="background1"/>
          </w:tcPr>
          <w:p w:rsidR="00D677D8" w:rsidRDefault="00D677D8">
            <w:pPr>
              <w:spacing w:line="276" w:lineRule="auto"/>
              <w:ind w:right="-2" w:hanging="2"/>
              <w:jc w:val="both"/>
              <w:rPr>
                <w:rFonts w:eastAsia="SimSun"/>
                <w:b/>
                <w:bCs/>
                <w:kern w:val="2"/>
                <w:sz w:val="20"/>
                <w:szCs w:val="20"/>
                <w:lang w:eastAsia="zh-CN" w:bidi="hi-IN"/>
              </w:rPr>
            </w:pPr>
          </w:p>
        </w:tc>
      </w:tr>
      <w:tr w:rsidR="00D677D8">
        <w:trPr>
          <w:trHeight w:val="191"/>
        </w:trPr>
        <w:tc>
          <w:tcPr>
            <w:tcW w:w="2968" w:type="dxa"/>
            <w:gridSpan w:val="2"/>
            <w:tcBorders>
              <w:top w:val="nil"/>
              <w:left w:val="nil"/>
              <w:bottom w:val="nil"/>
            </w:tcBorders>
            <w:shd w:val="clear" w:color="auto" w:fill="DBE5F1" w:themeFill="accent1" w:themeFillTint="33"/>
          </w:tcPr>
          <w:p w:rsidR="00D677D8" w:rsidRDefault="005964FB">
            <w:pPr>
              <w:spacing w:line="276" w:lineRule="auto"/>
              <w:ind w:right="-2" w:hanging="2"/>
              <w:jc w:val="both"/>
              <w:rPr>
                <w:sz w:val="20"/>
                <w:szCs w:val="20"/>
              </w:rPr>
            </w:pPr>
            <w:r>
              <w:rPr>
                <w:rFonts w:eastAsia="SimSun"/>
                <w:b/>
                <w:bCs/>
                <w:kern w:val="2"/>
                <w:sz w:val="20"/>
                <w:szCs w:val="20"/>
                <w:lang w:eastAsia="zh-CN" w:bidi="hi-IN"/>
              </w:rPr>
              <w:t>2. Setor Requisitante:</w:t>
            </w:r>
          </w:p>
        </w:tc>
        <w:tc>
          <w:tcPr>
            <w:tcW w:w="430" w:type="dxa"/>
            <w:gridSpan w:val="2"/>
            <w:shd w:val="clear" w:color="auto" w:fill="FFFFFF" w:themeFill="background1"/>
          </w:tcPr>
          <w:p w:rsidR="00D677D8" w:rsidRDefault="00D677D8">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bottom w:val="nil"/>
              <w:right w:val="nil"/>
            </w:tcBorders>
            <w:shd w:val="clear" w:color="auto" w:fill="FFFFFF" w:themeFill="background1"/>
          </w:tcPr>
          <w:p w:rsidR="00D677D8" w:rsidRDefault="005964FB">
            <w:pPr>
              <w:widowControl w:val="0"/>
              <w:tabs>
                <w:tab w:val="right" w:pos="9071"/>
              </w:tabs>
              <w:ind w:right="-2" w:hanging="2"/>
              <w:jc w:val="both"/>
              <w:textAlignment w:val="baseline"/>
              <w:rPr>
                <w:sz w:val="20"/>
                <w:szCs w:val="20"/>
              </w:rPr>
            </w:pPr>
            <w:r>
              <w:rPr>
                <w:rFonts w:eastAsia="SimSun"/>
                <w:kern w:val="2"/>
                <w:sz w:val="20"/>
                <w:szCs w:val="20"/>
                <w:lang w:eastAsia="zh-CN" w:bidi="hi-IN"/>
              </w:rPr>
              <w:t>1 - SECRETARIA DE GOVERNO</w:t>
            </w:r>
          </w:p>
        </w:tc>
      </w:tr>
      <w:tr w:rsidR="00D677D8">
        <w:trPr>
          <w:trHeight w:val="203"/>
        </w:trPr>
        <w:tc>
          <w:tcPr>
            <w:tcW w:w="2968" w:type="dxa"/>
            <w:gridSpan w:val="2"/>
            <w:vMerge w:val="restart"/>
            <w:tcBorders>
              <w:top w:val="nil"/>
              <w:left w:val="nil"/>
              <w:bottom w:val="nil"/>
            </w:tcBorders>
            <w:shd w:val="clear" w:color="auto" w:fill="FFFFFF" w:themeFill="background1"/>
          </w:tcPr>
          <w:p w:rsidR="00D677D8" w:rsidRDefault="00D677D8">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rsidR="00D677D8" w:rsidRDefault="00D677D8">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bottom w:val="nil"/>
              <w:right w:val="nil"/>
            </w:tcBorders>
            <w:shd w:val="clear" w:color="auto" w:fill="FFFFFF" w:themeFill="background1"/>
          </w:tcPr>
          <w:p w:rsidR="00D677D8" w:rsidRDefault="005964FB">
            <w:pPr>
              <w:widowControl w:val="0"/>
              <w:tabs>
                <w:tab w:val="right" w:pos="9071"/>
              </w:tabs>
              <w:ind w:right="-2" w:hanging="2"/>
              <w:jc w:val="both"/>
              <w:textAlignment w:val="baseline"/>
              <w:rPr>
                <w:sz w:val="20"/>
                <w:szCs w:val="20"/>
              </w:rPr>
            </w:pPr>
            <w:r>
              <w:rPr>
                <w:rFonts w:eastAsia="SimSun"/>
                <w:kern w:val="2"/>
                <w:sz w:val="20"/>
                <w:szCs w:val="20"/>
                <w:lang w:eastAsia="zh-CN" w:bidi="hi-IN"/>
              </w:rPr>
              <w:t>2 - ASSESSORIA JURÍDICA</w:t>
            </w:r>
          </w:p>
        </w:tc>
      </w:tr>
      <w:tr w:rsidR="00D677D8">
        <w:trPr>
          <w:trHeight w:val="203"/>
        </w:trPr>
        <w:tc>
          <w:tcPr>
            <w:tcW w:w="2968" w:type="dxa"/>
            <w:gridSpan w:val="2"/>
            <w:vMerge/>
            <w:tcBorders>
              <w:top w:val="nil"/>
              <w:left w:val="nil"/>
              <w:bottom w:val="nil"/>
            </w:tcBorders>
            <w:shd w:val="clear" w:color="auto" w:fill="FFFFFF" w:themeFill="background1"/>
          </w:tcPr>
          <w:p w:rsidR="00D677D8" w:rsidRDefault="00D677D8">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rsidR="00D677D8" w:rsidRDefault="00D677D8">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rsidR="00D677D8" w:rsidRDefault="005964FB">
            <w:pPr>
              <w:widowControl w:val="0"/>
              <w:tabs>
                <w:tab w:val="right" w:pos="9071"/>
              </w:tabs>
              <w:ind w:right="-2" w:hanging="2"/>
              <w:jc w:val="both"/>
              <w:textAlignment w:val="baseline"/>
              <w:rPr>
                <w:sz w:val="20"/>
                <w:szCs w:val="20"/>
              </w:rPr>
            </w:pPr>
            <w:r>
              <w:rPr>
                <w:rFonts w:eastAsia="SimSun"/>
                <w:kern w:val="2"/>
                <w:sz w:val="20"/>
                <w:szCs w:val="20"/>
                <w:lang w:eastAsia="zh-CN" w:bidi="hi-IN"/>
              </w:rPr>
              <w:t>6 - SECRETARIA DE ADMINISTRAÇÃO</w:t>
            </w:r>
          </w:p>
        </w:tc>
      </w:tr>
      <w:tr w:rsidR="00D677D8">
        <w:trPr>
          <w:trHeight w:val="203"/>
        </w:trPr>
        <w:tc>
          <w:tcPr>
            <w:tcW w:w="2968" w:type="dxa"/>
            <w:gridSpan w:val="2"/>
            <w:vMerge/>
            <w:tcBorders>
              <w:top w:val="nil"/>
              <w:left w:val="nil"/>
              <w:bottom w:val="nil"/>
            </w:tcBorders>
            <w:shd w:val="clear" w:color="auto" w:fill="FFFFFF" w:themeFill="background1"/>
          </w:tcPr>
          <w:p w:rsidR="00D677D8" w:rsidRDefault="00D677D8">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rsidR="00D677D8" w:rsidRDefault="00D677D8">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bottom w:val="nil"/>
              <w:right w:val="nil"/>
            </w:tcBorders>
            <w:shd w:val="clear" w:color="auto" w:fill="FFFFFF" w:themeFill="background1"/>
          </w:tcPr>
          <w:p w:rsidR="00D677D8" w:rsidRDefault="005964FB">
            <w:pPr>
              <w:widowControl w:val="0"/>
              <w:tabs>
                <w:tab w:val="right" w:pos="9071"/>
              </w:tabs>
              <w:ind w:right="-2" w:hanging="2"/>
              <w:jc w:val="both"/>
              <w:textAlignment w:val="baseline"/>
              <w:rPr>
                <w:sz w:val="20"/>
                <w:szCs w:val="20"/>
              </w:rPr>
            </w:pPr>
            <w:r>
              <w:rPr>
                <w:rFonts w:eastAsia="SimSun"/>
                <w:kern w:val="2"/>
                <w:sz w:val="20"/>
                <w:szCs w:val="20"/>
                <w:lang w:eastAsia="zh-CN" w:bidi="hi-IN"/>
              </w:rPr>
              <w:t>7 - SECRETARIA DE PLANEJAMENTO</w:t>
            </w:r>
          </w:p>
        </w:tc>
      </w:tr>
      <w:tr w:rsidR="00D677D8">
        <w:trPr>
          <w:trHeight w:val="203"/>
        </w:trPr>
        <w:tc>
          <w:tcPr>
            <w:tcW w:w="2968" w:type="dxa"/>
            <w:gridSpan w:val="2"/>
            <w:vMerge/>
            <w:tcBorders>
              <w:top w:val="nil"/>
              <w:left w:val="nil"/>
              <w:bottom w:val="nil"/>
            </w:tcBorders>
            <w:shd w:val="clear" w:color="auto" w:fill="FFFFFF" w:themeFill="background1"/>
          </w:tcPr>
          <w:p w:rsidR="00D677D8" w:rsidRDefault="00D677D8">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rsidR="00D677D8" w:rsidRDefault="00D677D8">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bottom w:val="nil"/>
              <w:right w:val="nil"/>
            </w:tcBorders>
            <w:shd w:val="clear" w:color="auto" w:fill="FFFFFF" w:themeFill="background1"/>
          </w:tcPr>
          <w:p w:rsidR="00D677D8" w:rsidRDefault="005964FB">
            <w:pPr>
              <w:widowControl w:val="0"/>
              <w:tabs>
                <w:tab w:val="right" w:pos="9071"/>
              </w:tabs>
              <w:ind w:right="-2" w:hanging="2"/>
              <w:jc w:val="both"/>
              <w:textAlignment w:val="baseline"/>
              <w:rPr>
                <w:sz w:val="20"/>
                <w:szCs w:val="20"/>
              </w:rPr>
            </w:pPr>
            <w:r>
              <w:rPr>
                <w:rFonts w:eastAsia="SimSun"/>
                <w:kern w:val="2"/>
                <w:sz w:val="20"/>
                <w:szCs w:val="20"/>
                <w:lang w:eastAsia="zh-CN" w:bidi="hi-IN"/>
              </w:rPr>
              <w:t>8 - SECRETARIA DE FAZENDA</w:t>
            </w:r>
          </w:p>
        </w:tc>
      </w:tr>
      <w:tr w:rsidR="00D677D8">
        <w:trPr>
          <w:trHeight w:val="203"/>
        </w:trPr>
        <w:tc>
          <w:tcPr>
            <w:tcW w:w="2968" w:type="dxa"/>
            <w:gridSpan w:val="2"/>
            <w:vMerge/>
            <w:tcBorders>
              <w:top w:val="nil"/>
              <w:left w:val="nil"/>
              <w:bottom w:val="nil"/>
            </w:tcBorders>
            <w:shd w:val="clear" w:color="auto" w:fill="FFFFFF" w:themeFill="background1"/>
          </w:tcPr>
          <w:p w:rsidR="00D677D8" w:rsidRDefault="00D677D8">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rsidR="00D677D8" w:rsidRDefault="00D677D8">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rsidR="00D677D8" w:rsidRDefault="005964FB">
            <w:pPr>
              <w:widowControl w:val="0"/>
              <w:tabs>
                <w:tab w:val="right" w:pos="9071"/>
              </w:tabs>
              <w:ind w:right="-2" w:hanging="2"/>
              <w:jc w:val="both"/>
              <w:textAlignment w:val="baseline"/>
              <w:rPr>
                <w:sz w:val="20"/>
                <w:szCs w:val="20"/>
              </w:rPr>
            </w:pPr>
            <w:r>
              <w:rPr>
                <w:rFonts w:eastAsia="SimSun"/>
                <w:kern w:val="2"/>
                <w:sz w:val="20"/>
                <w:szCs w:val="20"/>
                <w:lang w:eastAsia="zh-CN" w:bidi="hi-IN"/>
              </w:rPr>
              <w:t>9 - SECRETARIA DE SAÚDE</w:t>
            </w:r>
          </w:p>
        </w:tc>
      </w:tr>
      <w:tr w:rsidR="00D677D8">
        <w:trPr>
          <w:trHeight w:val="203"/>
        </w:trPr>
        <w:tc>
          <w:tcPr>
            <w:tcW w:w="2968" w:type="dxa"/>
            <w:gridSpan w:val="2"/>
            <w:vMerge/>
            <w:tcBorders>
              <w:top w:val="nil"/>
              <w:left w:val="nil"/>
              <w:bottom w:val="nil"/>
            </w:tcBorders>
            <w:shd w:val="clear" w:color="auto" w:fill="FFFFFF" w:themeFill="background1"/>
          </w:tcPr>
          <w:p w:rsidR="00D677D8" w:rsidRDefault="00D677D8">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rsidR="00D677D8" w:rsidRDefault="00D677D8">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rsidR="00D677D8" w:rsidRDefault="005964FB">
            <w:pPr>
              <w:widowControl w:val="0"/>
              <w:tabs>
                <w:tab w:val="right" w:pos="9071"/>
              </w:tabs>
              <w:ind w:right="-2" w:hanging="2"/>
              <w:jc w:val="both"/>
              <w:textAlignment w:val="baseline"/>
              <w:rPr>
                <w:sz w:val="20"/>
                <w:szCs w:val="20"/>
              </w:rPr>
            </w:pPr>
            <w:r>
              <w:rPr>
                <w:rFonts w:eastAsia="SimSun"/>
                <w:kern w:val="2"/>
                <w:sz w:val="20"/>
                <w:szCs w:val="20"/>
                <w:lang w:eastAsia="zh-CN" w:bidi="hi-IN"/>
              </w:rPr>
              <w:t>10 - SECRETARIA DE EDUCAÇÃO, CULTURA E DESPORTO</w:t>
            </w:r>
          </w:p>
        </w:tc>
      </w:tr>
      <w:tr w:rsidR="00D677D8">
        <w:trPr>
          <w:trHeight w:val="203"/>
        </w:trPr>
        <w:tc>
          <w:tcPr>
            <w:tcW w:w="2968" w:type="dxa"/>
            <w:gridSpan w:val="2"/>
            <w:vMerge/>
            <w:tcBorders>
              <w:top w:val="nil"/>
              <w:left w:val="nil"/>
              <w:bottom w:val="nil"/>
            </w:tcBorders>
            <w:shd w:val="clear" w:color="auto" w:fill="FFFFFF" w:themeFill="background1"/>
          </w:tcPr>
          <w:p w:rsidR="00D677D8" w:rsidRDefault="00D677D8">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rsidR="00D677D8" w:rsidRDefault="00D677D8">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rsidR="00D677D8" w:rsidRDefault="005964FB">
            <w:pPr>
              <w:widowControl w:val="0"/>
              <w:tabs>
                <w:tab w:val="right" w:pos="9071"/>
              </w:tabs>
              <w:ind w:right="-2" w:hanging="2"/>
              <w:jc w:val="both"/>
              <w:textAlignment w:val="baseline"/>
              <w:rPr>
                <w:sz w:val="20"/>
                <w:szCs w:val="20"/>
              </w:rPr>
            </w:pPr>
            <w:r>
              <w:rPr>
                <w:rFonts w:eastAsia="SimSun"/>
                <w:kern w:val="2"/>
                <w:sz w:val="20"/>
                <w:szCs w:val="20"/>
                <w:lang w:eastAsia="zh-CN" w:bidi="hi-IN"/>
              </w:rPr>
              <w:t>11 - SECRETARIA DO MEIO AMBIENTE E REC. HÍDRICOS</w:t>
            </w:r>
          </w:p>
        </w:tc>
      </w:tr>
      <w:tr w:rsidR="00D677D8">
        <w:trPr>
          <w:trHeight w:val="203"/>
        </w:trPr>
        <w:tc>
          <w:tcPr>
            <w:tcW w:w="2968" w:type="dxa"/>
            <w:gridSpan w:val="2"/>
            <w:vMerge/>
            <w:tcBorders>
              <w:top w:val="nil"/>
              <w:left w:val="nil"/>
              <w:bottom w:val="nil"/>
            </w:tcBorders>
            <w:shd w:val="clear" w:color="auto" w:fill="FFFFFF" w:themeFill="background1"/>
          </w:tcPr>
          <w:p w:rsidR="00D677D8" w:rsidRDefault="00D677D8">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rsidR="00D677D8" w:rsidRDefault="00D677D8">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rsidR="00D677D8" w:rsidRDefault="005964FB">
            <w:pPr>
              <w:widowControl w:val="0"/>
              <w:tabs>
                <w:tab w:val="right" w:pos="9071"/>
              </w:tabs>
              <w:ind w:right="-2" w:hanging="2"/>
              <w:jc w:val="both"/>
              <w:textAlignment w:val="baseline"/>
              <w:rPr>
                <w:sz w:val="20"/>
                <w:szCs w:val="20"/>
              </w:rPr>
            </w:pPr>
            <w:r>
              <w:rPr>
                <w:rFonts w:eastAsia="SimSun"/>
                <w:kern w:val="2"/>
                <w:sz w:val="20"/>
                <w:szCs w:val="20"/>
                <w:lang w:eastAsia="zh-CN" w:bidi="hi-IN"/>
              </w:rPr>
              <w:t>12 - SECRETARIA DE OBRAS, SERV. E DES. URBANO</w:t>
            </w:r>
          </w:p>
        </w:tc>
      </w:tr>
      <w:tr w:rsidR="00D677D8">
        <w:trPr>
          <w:trHeight w:val="203"/>
        </w:trPr>
        <w:tc>
          <w:tcPr>
            <w:tcW w:w="2968" w:type="dxa"/>
            <w:gridSpan w:val="2"/>
            <w:vMerge/>
            <w:tcBorders>
              <w:top w:val="nil"/>
              <w:left w:val="nil"/>
              <w:bottom w:val="nil"/>
            </w:tcBorders>
            <w:shd w:val="clear" w:color="auto" w:fill="FFFFFF" w:themeFill="background1"/>
          </w:tcPr>
          <w:p w:rsidR="00D677D8" w:rsidRDefault="00D677D8">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rsidR="00D677D8" w:rsidRDefault="00D677D8">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rsidR="00D677D8" w:rsidRDefault="005964FB">
            <w:pPr>
              <w:widowControl w:val="0"/>
              <w:tabs>
                <w:tab w:val="right" w:pos="9071"/>
              </w:tabs>
              <w:ind w:right="-2" w:hanging="2"/>
              <w:jc w:val="both"/>
              <w:textAlignment w:val="baseline"/>
              <w:rPr>
                <w:sz w:val="20"/>
                <w:szCs w:val="20"/>
              </w:rPr>
            </w:pPr>
            <w:r>
              <w:rPr>
                <w:rFonts w:eastAsia="SimSun"/>
                <w:kern w:val="2"/>
                <w:sz w:val="20"/>
                <w:szCs w:val="20"/>
                <w:lang w:eastAsia="zh-CN" w:bidi="hi-IN"/>
              </w:rPr>
              <w:t>13 - SECRETARIA DE ASSISTÊNCIA SOCIAL</w:t>
            </w:r>
          </w:p>
        </w:tc>
      </w:tr>
      <w:tr w:rsidR="00D677D8">
        <w:trPr>
          <w:trHeight w:val="203"/>
        </w:trPr>
        <w:tc>
          <w:tcPr>
            <w:tcW w:w="2968" w:type="dxa"/>
            <w:gridSpan w:val="2"/>
            <w:vMerge/>
            <w:tcBorders>
              <w:top w:val="nil"/>
              <w:left w:val="nil"/>
              <w:bottom w:val="nil"/>
            </w:tcBorders>
            <w:shd w:val="clear" w:color="auto" w:fill="FFFFFF" w:themeFill="background1"/>
          </w:tcPr>
          <w:p w:rsidR="00D677D8" w:rsidRDefault="00D677D8">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rsidR="00D677D8" w:rsidRDefault="00D677D8">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bottom w:val="nil"/>
              <w:right w:val="nil"/>
            </w:tcBorders>
            <w:shd w:val="clear" w:color="auto" w:fill="FFFFFF" w:themeFill="background1"/>
          </w:tcPr>
          <w:p w:rsidR="00D677D8" w:rsidRDefault="005964FB">
            <w:pPr>
              <w:widowControl w:val="0"/>
              <w:tabs>
                <w:tab w:val="right" w:pos="9071"/>
              </w:tabs>
              <w:ind w:right="-2" w:hanging="2"/>
              <w:jc w:val="both"/>
              <w:textAlignment w:val="baseline"/>
              <w:rPr>
                <w:sz w:val="20"/>
                <w:szCs w:val="20"/>
              </w:rPr>
            </w:pPr>
            <w:r>
              <w:rPr>
                <w:rFonts w:eastAsia="SimSun"/>
                <w:kern w:val="2"/>
                <w:sz w:val="20"/>
                <w:szCs w:val="20"/>
                <w:lang w:eastAsia="zh-CN" w:bidi="hi-IN"/>
              </w:rPr>
              <w:t>14 - SECRETARIA DE DESENVOLVIMENTO ECONÔMICO</w:t>
            </w:r>
          </w:p>
        </w:tc>
      </w:tr>
      <w:tr w:rsidR="00D677D8">
        <w:trPr>
          <w:trHeight w:val="203"/>
        </w:trPr>
        <w:tc>
          <w:tcPr>
            <w:tcW w:w="2968" w:type="dxa"/>
            <w:gridSpan w:val="2"/>
            <w:vMerge/>
            <w:tcBorders>
              <w:top w:val="nil"/>
              <w:left w:val="nil"/>
              <w:bottom w:val="nil"/>
            </w:tcBorders>
            <w:shd w:val="clear" w:color="auto" w:fill="FFFFFF" w:themeFill="background1"/>
          </w:tcPr>
          <w:p w:rsidR="00D677D8" w:rsidRDefault="00D677D8">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rsidR="00D677D8" w:rsidRDefault="005964FB">
            <w:pPr>
              <w:widowControl w:val="0"/>
              <w:tabs>
                <w:tab w:val="right" w:pos="9071"/>
              </w:tabs>
              <w:ind w:right="-2" w:hanging="2"/>
              <w:jc w:val="center"/>
              <w:textAlignment w:val="baseline"/>
              <w:rPr>
                <w:rFonts w:eastAsia="SimSun"/>
                <w:b/>
                <w:bCs/>
                <w:color w:val="FF0000"/>
                <w:kern w:val="2"/>
                <w:sz w:val="20"/>
                <w:szCs w:val="20"/>
                <w:lang w:eastAsia="zh-CN" w:bidi="hi-IN"/>
              </w:rPr>
            </w:pPr>
            <w:r>
              <w:rPr>
                <w:rFonts w:eastAsia="SimSun"/>
                <w:b/>
                <w:bCs/>
                <w:color w:val="FF0000"/>
                <w:kern w:val="2"/>
                <w:sz w:val="20"/>
                <w:szCs w:val="20"/>
                <w:lang w:eastAsia="zh-CN" w:bidi="hi-IN"/>
              </w:rPr>
              <w:t>X</w:t>
            </w:r>
          </w:p>
        </w:tc>
        <w:tc>
          <w:tcPr>
            <w:tcW w:w="5956" w:type="dxa"/>
            <w:tcBorders>
              <w:top w:val="nil"/>
              <w:bottom w:val="nil"/>
              <w:right w:val="nil"/>
            </w:tcBorders>
            <w:shd w:val="clear" w:color="auto" w:fill="FFFFFF" w:themeFill="background1"/>
          </w:tcPr>
          <w:p w:rsidR="00D677D8" w:rsidRDefault="005964FB">
            <w:pPr>
              <w:widowControl w:val="0"/>
              <w:tabs>
                <w:tab w:val="right" w:pos="9071"/>
              </w:tabs>
              <w:ind w:right="-2" w:hanging="2"/>
              <w:jc w:val="both"/>
              <w:textAlignment w:val="baseline"/>
              <w:rPr>
                <w:sz w:val="20"/>
                <w:szCs w:val="20"/>
              </w:rPr>
            </w:pPr>
            <w:r>
              <w:rPr>
                <w:rFonts w:eastAsia="SimSun"/>
                <w:kern w:val="2"/>
                <w:sz w:val="20"/>
                <w:szCs w:val="20"/>
                <w:lang w:eastAsia="zh-CN" w:bidi="hi-IN"/>
              </w:rPr>
              <w:t>15 - SECRETARIA DE AGRICULTURA E PECUÁRIA</w:t>
            </w:r>
          </w:p>
        </w:tc>
      </w:tr>
      <w:tr w:rsidR="00D677D8">
        <w:trPr>
          <w:trHeight w:val="203"/>
        </w:trPr>
        <w:tc>
          <w:tcPr>
            <w:tcW w:w="2968" w:type="dxa"/>
            <w:gridSpan w:val="2"/>
            <w:vMerge/>
            <w:tcBorders>
              <w:top w:val="nil"/>
              <w:left w:val="nil"/>
              <w:bottom w:val="nil"/>
            </w:tcBorders>
            <w:shd w:val="clear" w:color="auto" w:fill="FFFFFF" w:themeFill="background1"/>
          </w:tcPr>
          <w:p w:rsidR="00D677D8" w:rsidRDefault="00D677D8">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rsidR="00D677D8" w:rsidRDefault="00D677D8">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bottom w:val="nil"/>
              <w:right w:val="nil"/>
            </w:tcBorders>
            <w:shd w:val="clear" w:color="auto" w:fill="FFFFFF" w:themeFill="background1"/>
          </w:tcPr>
          <w:p w:rsidR="00D677D8" w:rsidRDefault="005964FB">
            <w:pPr>
              <w:widowControl w:val="0"/>
              <w:tabs>
                <w:tab w:val="right" w:pos="9071"/>
              </w:tabs>
              <w:ind w:right="-2" w:hanging="2"/>
              <w:jc w:val="both"/>
              <w:textAlignment w:val="baseline"/>
              <w:rPr>
                <w:sz w:val="20"/>
                <w:szCs w:val="20"/>
              </w:rPr>
            </w:pPr>
            <w:r>
              <w:rPr>
                <w:rFonts w:eastAsia="SimSun"/>
                <w:kern w:val="2"/>
                <w:sz w:val="20"/>
                <w:szCs w:val="20"/>
                <w:lang w:eastAsia="zh-CN" w:bidi="hi-IN"/>
              </w:rPr>
              <w:t>16 - SECRETARIA DE POLÍTICA HABITACIONAL</w:t>
            </w:r>
          </w:p>
        </w:tc>
      </w:tr>
      <w:tr w:rsidR="00D677D8">
        <w:tc>
          <w:tcPr>
            <w:tcW w:w="9354" w:type="dxa"/>
            <w:gridSpan w:val="5"/>
            <w:tcBorders>
              <w:top w:val="nil"/>
              <w:left w:val="nil"/>
              <w:bottom w:val="nil"/>
              <w:right w:val="nil"/>
            </w:tcBorders>
            <w:shd w:val="clear" w:color="auto" w:fill="FFFFFF" w:themeFill="background1"/>
          </w:tcPr>
          <w:p w:rsidR="00D677D8" w:rsidRDefault="00D677D8">
            <w:pPr>
              <w:spacing w:line="276" w:lineRule="auto"/>
              <w:ind w:right="-2" w:hanging="2"/>
              <w:jc w:val="both"/>
              <w:rPr>
                <w:rFonts w:eastAsia="SimSun"/>
                <w:b/>
                <w:bCs/>
                <w:kern w:val="2"/>
                <w:sz w:val="20"/>
                <w:szCs w:val="20"/>
                <w:lang w:eastAsia="zh-CN" w:bidi="hi-IN"/>
              </w:rPr>
            </w:pPr>
          </w:p>
        </w:tc>
      </w:tr>
      <w:tr w:rsidR="00D677D8">
        <w:tc>
          <w:tcPr>
            <w:tcW w:w="2977" w:type="dxa"/>
            <w:gridSpan w:val="3"/>
            <w:tcBorders>
              <w:top w:val="nil"/>
              <w:left w:val="nil"/>
              <w:bottom w:val="nil"/>
              <w:right w:val="nil"/>
            </w:tcBorders>
            <w:shd w:val="clear" w:color="auto" w:fill="DBE5F1" w:themeFill="accent1" w:themeFillTint="33"/>
          </w:tcPr>
          <w:p w:rsidR="00D677D8" w:rsidRDefault="005964FB">
            <w:pPr>
              <w:spacing w:line="276" w:lineRule="auto"/>
              <w:ind w:right="-2" w:hanging="2"/>
              <w:jc w:val="both"/>
              <w:rPr>
                <w:sz w:val="20"/>
                <w:szCs w:val="20"/>
              </w:rPr>
            </w:pPr>
            <w:r>
              <w:rPr>
                <w:rFonts w:eastAsia="SimSun"/>
                <w:b/>
                <w:bCs/>
                <w:kern w:val="2"/>
                <w:sz w:val="20"/>
                <w:szCs w:val="20"/>
                <w:lang w:eastAsia="zh-CN" w:bidi="hi-IN"/>
              </w:rPr>
              <w:t>3. Equipe de Planejamento da  Contratação:</w:t>
            </w:r>
          </w:p>
        </w:tc>
        <w:tc>
          <w:tcPr>
            <w:tcW w:w="6377" w:type="dxa"/>
            <w:gridSpan w:val="2"/>
            <w:tcBorders>
              <w:top w:val="nil"/>
              <w:left w:val="nil"/>
              <w:bottom w:val="nil"/>
              <w:right w:val="nil"/>
            </w:tcBorders>
            <w:shd w:val="clear" w:color="auto" w:fill="FFFFFF" w:themeFill="background1"/>
          </w:tcPr>
          <w:p w:rsidR="00D677D8" w:rsidRDefault="005964FB">
            <w:pPr>
              <w:widowControl w:val="0"/>
              <w:tabs>
                <w:tab w:val="right" w:pos="9071"/>
              </w:tabs>
              <w:ind w:right="-2" w:hanging="2"/>
              <w:jc w:val="both"/>
              <w:textAlignment w:val="baseline"/>
              <w:rPr>
                <w:rFonts w:eastAsia="SimSun"/>
                <w:kern w:val="2"/>
                <w:sz w:val="20"/>
                <w:szCs w:val="20"/>
                <w:lang w:eastAsia="zh-CN" w:bidi="hi-IN"/>
              </w:rPr>
            </w:pPr>
            <w:r>
              <w:rPr>
                <w:rFonts w:eastAsia="SimSun"/>
                <w:kern w:val="2"/>
                <w:sz w:val="20"/>
                <w:szCs w:val="20"/>
                <w:lang w:eastAsia="zh-CN" w:bidi="hi-IN"/>
              </w:rPr>
              <w:t>Patrícia Pedroso de Oliveira – Secretária de Planejamento</w:t>
            </w:r>
          </w:p>
          <w:p w:rsidR="00D677D8" w:rsidRDefault="005964FB">
            <w:pPr>
              <w:widowControl w:val="0"/>
              <w:tabs>
                <w:tab w:val="right" w:pos="9071"/>
              </w:tabs>
              <w:ind w:right="-2" w:hanging="2"/>
              <w:jc w:val="both"/>
              <w:textAlignment w:val="baseline"/>
              <w:rPr>
                <w:rFonts w:eastAsia="SimSun"/>
                <w:kern w:val="2"/>
                <w:sz w:val="20"/>
                <w:szCs w:val="20"/>
                <w:lang w:eastAsia="zh-CN" w:bidi="hi-IN"/>
              </w:rPr>
            </w:pPr>
            <w:r>
              <w:rPr>
                <w:rFonts w:eastAsia="SimSun"/>
                <w:kern w:val="2"/>
                <w:sz w:val="20"/>
                <w:szCs w:val="20"/>
                <w:lang w:eastAsia="zh-CN" w:bidi="hi-IN"/>
              </w:rPr>
              <w:t>RosicleideInforzato – Diretora de Planejamento</w:t>
            </w:r>
          </w:p>
          <w:p w:rsidR="00D677D8" w:rsidRDefault="005964FB">
            <w:pPr>
              <w:widowControl w:val="0"/>
              <w:tabs>
                <w:tab w:val="right" w:pos="9071"/>
              </w:tabs>
              <w:ind w:right="-2" w:hanging="2"/>
              <w:jc w:val="both"/>
              <w:textAlignment w:val="baseline"/>
              <w:rPr>
                <w:sz w:val="20"/>
                <w:szCs w:val="20"/>
              </w:rPr>
            </w:pPr>
            <w:r>
              <w:rPr>
                <w:sz w:val="20"/>
                <w:szCs w:val="20"/>
              </w:rPr>
              <w:t xml:space="preserve">Camila Dias Ramalho Matta- </w:t>
            </w:r>
            <w:r>
              <w:rPr>
                <w:rFonts w:eastAsia="SimSun"/>
                <w:kern w:val="2"/>
                <w:sz w:val="20"/>
                <w:szCs w:val="20"/>
                <w:lang w:eastAsia="zh-CN" w:bidi="hi-IN"/>
              </w:rPr>
              <w:t>Secretária Da Agricultura e Pecuária</w:t>
            </w:r>
          </w:p>
          <w:p w:rsidR="00D677D8" w:rsidRDefault="005964FB">
            <w:pPr>
              <w:widowControl w:val="0"/>
              <w:tabs>
                <w:tab w:val="right" w:pos="9071"/>
              </w:tabs>
              <w:ind w:right="-2" w:hanging="2"/>
              <w:jc w:val="both"/>
              <w:textAlignment w:val="baseline"/>
              <w:rPr>
                <w:sz w:val="20"/>
                <w:szCs w:val="20"/>
              </w:rPr>
            </w:pPr>
            <w:r>
              <w:rPr>
                <w:rFonts w:eastAsia="SimSun"/>
                <w:kern w:val="2"/>
                <w:sz w:val="20"/>
                <w:szCs w:val="20"/>
                <w:lang w:eastAsia="zh-CN" w:bidi="hi-IN"/>
              </w:rPr>
              <w:t>Nilda Cristina da Costa Antunes – Fiscal</w:t>
            </w:r>
          </w:p>
        </w:tc>
      </w:tr>
      <w:tr w:rsidR="00D677D8">
        <w:tc>
          <w:tcPr>
            <w:tcW w:w="9354" w:type="dxa"/>
            <w:gridSpan w:val="5"/>
            <w:tcBorders>
              <w:top w:val="nil"/>
              <w:left w:val="nil"/>
              <w:bottom w:val="nil"/>
              <w:right w:val="nil"/>
            </w:tcBorders>
            <w:shd w:val="clear" w:color="auto" w:fill="FFFFFF" w:themeFill="background1"/>
          </w:tcPr>
          <w:p w:rsidR="00D677D8" w:rsidRDefault="00D677D8">
            <w:pPr>
              <w:spacing w:line="276" w:lineRule="auto"/>
              <w:ind w:right="-2" w:hanging="2"/>
              <w:jc w:val="both"/>
              <w:rPr>
                <w:rFonts w:eastAsia="SimSun"/>
                <w:b/>
                <w:bCs/>
                <w:kern w:val="2"/>
                <w:sz w:val="20"/>
                <w:szCs w:val="20"/>
                <w:lang w:eastAsia="zh-CN" w:bidi="hi-IN"/>
              </w:rPr>
            </w:pPr>
          </w:p>
        </w:tc>
      </w:tr>
      <w:tr w:rsidR="00D677D8">
        <w:tc>
          <w:tcPr>
            <w:tcW w:w="1267" w:type="dxa"/>
            <w:tcBorders>
              <w:top w:val="nil"/>
              <w:left w:val="nil"/>
              <w:bottom w:val="nil"/>
              <w:right w:val="nil"/>
            </w:tcBorders>
            <w:shd w:val="clear" w:color="auto" w:fill="DBE5F1" w:themeFill="accent1" w:themeFillTint="33"/>
          </w:tcPr>
          <w:p w:rsidR="00D677D8" w:rsidRDefault="005964FB">
            <w:pPr>
              <w:spacing w:line="276" w:lineRule="auto"/>
              <w:ind w:right="-2" w:hanging="2"/>
              <w:jc w:val="both"/>
              <w:rPr>
                <w:sz w:val="20"/>
                <w:szCs w:val="20"/>
              </w:rPr>
            </w:pPr>
            <w:r>
              <w:rPr>
                <w:rFonts w:eastAsia="SimSun"/>
                <w:b/>
                <w:bCs/>
                <w:kern w:val="2"/>
                <w:sz w:val="20"/>
                <w:szCs w:val="20"/>
                <w:lang w:eastAsia="zh-CN" w:bidi="hi-IN"/>
              </w:rPr>
              <w:t>4. Objeto:</w:t>
            </w:r>
          </w:p>
        </w:tc>
        <w:tc>
          <w:tcPr>
            <w:tcW w:w="8087" w:type="dxa"/>
            <w:gridSpan w:val="4"/>
            <w:tcBorders>
              <w:top w:val="nil"/>
              <w:left w:val="nil"/>
              <w:bottom w:val="nil"/>
              <w:right w:val="nil"/>
            </w:tcBorders>
            <w:shd w:val="clear" w:color="auto" w:fill="FFFFFF" w:themeFill="background1"/>
          </w:tcPr>
          <w:p w:rsidR="00D677D8" w:rsidRDefault="005964FB">
            <w:pPr>
              <w:ind w:right="-2"/>
              <w:jc w:val="both"/>
            </w:pPr>
            <w:r>
              <w:rPr>
                <w:sz w:val="22"/>
                <w:szCs w:val="22"/>
              </w:rPr>
              <w:t>PÁ CARREGADEIRA SOBRE RODAS, última série, nova, zero hora, com fabricação admissível a partir do segundo semestre de 2024 ou superior.</w:t>
            </w:r>
          </w:p>
        </w:tc>
      </w:tr>
      <w:tr w:rsidR="00D677D8">
        <w:tc>
          <w:tcPr>
            <w:tcW w:w="1267" w:type="dxa"/>
            <w:tcBorders>
              <w:top w:val="nil"/>
              <w:left w:val="nil"/>
              <w:bottom w:val="nil"/>
              <w:right w:val="nil"/>
            </w:tcBorders>
            <w:shd w:val="clear" w:color="auto" w:fill="auto"/>
          </w:tcPr>
          <w:p w:rsidR="00D677D8" w:rsidRDefault="00D677D8">
            <w:pPr>
              <w:spacing w:line="276" w:lineRule="auto"/>
              <w:ind w:right="-2" w:hanging="2"/>
              <w:jc w:val="both"/>
              <w:rPr>
                <w:rFonts w:eastAsia="SimSun"/>
                <w:b/>
                <w:bCs/>
                <w:kern w:val="2"/>
                <w:sz w:val="20"/>
                <w:szCs w:val="20"/>
                <w:lang w:eastAsia="zh-CN" w:bidi="hi-IN"/>
              </w:rPr>
            </w:pPr>
          </w:p>
        </w:tc>
        <w:tc>
          <w:tcPr>
            <w:tcW w:w="8087" w:type="dxa"/>
            <w:gridSpan w:val="4"/>
            <w:tcBorders>
              <w:top w:val="nil"/>
              <w:left w:val="nil"/>
              <w:bottom w:val="nil"/>
              <w:right w:val="nil"/>
            </w:tcBorders>
            <w:shd w:val="clear" w:color="auto" w:fill="FFFFFF" w:themeFill="background1"/>
          </w:tcPr>
          <w:p w:rsidR="00D677D8" w:rsidRDefault="00D677D8">
            <w:pPr>
              <w:ind w:right="-2" w:hanging="2"/>
              <w:jc w:val="both"/>
              <w:rPr>
                <w:sz w:val="20"/>
                <w:szCs w:val="20"/>
              </w:rPr>
            </w:pPr>
          </w:p>
        </w:tc>
      </w:tr>
      <w:tr w:rsidR="00D677D8">
        <w:trPr>
          <w:trHeight w:val="192"/>
        </w:trPr>
        <w:tc>
          <w:tcPr>
            <w:tcW w:w="1267" w:type="dxa"/>
            <w:tcBorders>
              <w:top w:val="nil"/>
              <w:left w:val="nil"/>
              <w:bottom w:val="nil"/>
              <w:right w:val="nil"/>
            </w:tcBorders>
            <w:shd w:val="clear" w:color="auto" w:fill="DBE5F1" w:themeFill="accent1" w:themeFillTint="33"/>
          </w:tcPr>
          <w:p w:rsidR="00D677D8" w:rsidRDefault="005964FB">
            <w:pPr>
              <w:spacing w:line="276" w:lineRule="auto"/>
              <w:ind w:right="-2" w:hanging="2"/>
              <w:jc w:val="both"/>
              <w:rPr>
                <w:sz w:val="20"/>
                <w:szCs w:val="20"/>
              </w:rPr>
            </w:pPr>
            <w:r>
              <w:rPr>
                <w:rFonts w:eastAsia="SimSun"/>
                <w:b/>
                <w:bCs/>
                <w:kern w:val="2"/>
                <w:sz w:val="20"/>
                <w:szCs w:val="20"/>
                <w:lang w:eastAsia="zh-CN" w:bidi="hi-IN"/>
              </w:rPr>
              <w:t>5. Local</w:t>
            </w:r>
          </w:p>
        </w:tc>
        <w:tc>
          <w:tcPr>
            <w:tcW w:w="8087" w:type="dxa"/>
            <w:gridSpan w:val="4"/>
            <w:tcBorders>
              <w:top w:val="nil"/>
              <w:left w:val="nil"/>
              <w:bottom w:val="nil"/>
              <w:right w:val="nil"/>
            </w:tcBorders>
            <w:shd w:val="clear" w:color="auto" w:fill="FFFFFF" w:themeFill="background1"/>
          </w:tcPr>
          <w:p w:rsidR="00D677D8" w:rsidRDefault="005964FB">
            <w:pPr>
              <w:ind w:right="-2"/>
              <w:jc w:val="both"/>
              <w:rPr>
                <w:sz w:val="20"/>
                <w:szCs w:val="20"/>
              </w:rPr>
            </w:pPr>
            <w:r>
              <w:rPr>
                <w:sz w:val="20"/>
                <w:szCs w:val="20"/>
              </w:rPr>
              <w:t>Diversos</w:t>
            </w:r>
          </w:p>
          <w:p w:rsidR="00D677D8" w:rsidRDefault="005964FB">
            <w:pPr>
              <w:ind w:right="-2"/>
              <w:jc w:val="both"/>
              <w:rPr>
                <w:sz w:val="20"/>
                <w:szCs w:val="20"/>
              </w:rPr>
            </w:pPr>
            <w:r>
              <w:rPr>
                <w:sz w:val="20"/>
                <w:szCs w:val="20"/>
              </w:rPr>
              <w:t>FISCAL DO CONTRATO PORTARIA NRº 2135/2025</w:t>
            </w:r>
          </w:p>
        </w:tc>
      </w:tr>
      <w:tr w:rsidR="00D677D8">
        <w:tc>
          <w:tcPr>
            <w:tcW w:w="2977" w:type="dxa"/>
            <w:gridSpan w:val="3"/>
            <w:tcBorders>
              <w:top w:val="nil"/>
              <w:left w:val="nil"/>
              <w:bottom w:val="single" w:sz="12" w:space="0" w:color="000000"/>
              <w:right w:val="nil"/>
            </w:tcBorders>
            <w:shd w:val="clear" w:color="auto" w:fill="FFFFFF" w:themeFill="background1"/>
          </w:tcPr>
          <w:p w:rsidR="00D677D8" w:rsidRDefault="00D677D8">
            <w:pPr>
              <w:spacing w:line="276" w:lineRule="auto"/>
              <w:ind w:right="-2" w:hanging="2"/>
              <w:jc w:val="both"/>
              <w:rPr>
                <w:sz w:val="22"/>
                <w:szCs w:val="22"/>
              </w:rPr>
            </w:pPr>
          </w:p>
        </w:tc>
        <w:tc>
          <w:tcPr>
            <w:tcW w:w="6377" w:type="dxa"/>
            <w:gridSpan w:val="2"/>
            <w:tcBorders>
              <w:top w:val="nil"/>
              <w:left w:val="nil"/>
              <w:bottom w:val="single" w:sz="12" w:space="0" w:color="000000"/>
              <w:right w:val="nil"/>
            </w:tcBorders>
            <w:shd w:val="clear" w:color="auto" w:fill="FFFFFF" w:themeFill="background1"/>
          </w:tcPr>
          <w:p w:rsidR="00D677D8" w:rsidRDefault="00D677D8">
            <w:pPr>
              <w:spacing w:line="276" w:lineRule="auto"/>
              <w:ind w:right="-2" w:hanging="2"/>
              <w:jc w:val="both"/>
              <w:rPr>
                <w:sz w:val="22"/>
                <w:szCs w:val="22"/>
              </w:rPr>
            </w:pPr>
          </w:p>
        </w:tc>
      </w:tr>
      <w:tr w:rsidR="00D677D8">
        <w:tc>
          <w:tcPr>
            <w:tcW w:w="9354" w:type="dxa"/>
            <w:gridSpan w:val="5"/>
            <w:tcBorders>
              <w:top w:val="nil"/>
              <w:left w:val="single" w:sz="12" w:space="0" w:color="000000"/>
              <w:bottom w:val="single" w:sz="12" w:space="0" w:color="000000"/>
              <w:right w:val="single" w:sz="12" w:space="0" w:color="000000"/>
            </w:tcBorders>
            <w:shd w:val="clear" w:color="auto" w:fill="365F91" w:themeFill="accent1" w:themeFillShade="BF"/>
          </w:tcPr>
          <w:p w:rsidR="00D677D8" w:rsidRDefault="005964FB">
            <w:pPr>
              <w:spacing w:line="276" w:lineRule="auto"/>
              <w:ind w:right="-2" w:hanging="2"/>
              <w:jc w:val="both"/>
              <w:rPr>
                <w:sz w:val="22"/>
                <w:szCs w:val="22"/>
              </w:rPr>
            </w:pPr>
            <w:r>
              <w:rPr>
                <w:b/>
                <w:bCs/>
                <w:color w:val="FFFFFF" w:themeColor="background1"/>
                <w:sz w:val="22"/>
                <w:szCs w:val="22"/>
              </w:rPr>
              <w:t>II - Diagnóstico da Situação Atual:</w:t>
            </w:r>
          </w:p>
        </w:tc>
      </w:tr>
      <w:tr w:rsidR="00D677D8">
        <w:tc>
          <w:tcPr>
            <w:tcW w:w="9354" w:type="dxa"/>
            <w:gridSpan w:val="5"/>
            <w:tcBorders>
              <w:top w:val="single" w:sz="12" w:space="0" w:color="000000"/>
              <w:left w:val="nil"/>
              <w:bottom w:val="single" w:sz="12" w:space="0" w:color="000000"/>
              <w:right w:val="nil"/>
            </w:tcBorders>
            <w:shd w:val="clear" w:color="auto" w:fill="FFFFFF" w:themeFill="background1"/>
          </w:tcPr>
          <w:p w:rsidR="00D677D8" w:rsidRDefault="00D677D8">
            <w:pPr>
              <w:spacing w:line="276" w:lineRule="auto"/>
              <w:ind w:right="-2" w:hanging="2"/>
              <w:jc w:val="both"/>
              <w:rPr>
                <w:b/>
                <w:bCs/>
                <w:color w:val="FFFFFF" w:themeColor="background1"/>
                <w:sz w:val="22"/>
                <w:szCs w:val="22"/>
              </w:rPr>
            </w:pPr>
          </w:p>
        </w:tc>
      </w:tr>
      <w:tr w:rsidR="00D677D8">
        <w:tc>
          <w:tcPr>
            <w:tcW w:w="9354" w:type="dxa"/>
            <w:gridSpan w:val="5"/>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rsidR="00D677D8" w:rsidRDefault="005964FB">
            <w:pPr>
              <w:pStyle w:val="PargrafodaLista"/>
              <w:numPr>
                <w:ilvl w:val="0"/>
                <w:numId w:val="2"/>
              </w:numPr>
              <w:tabs>
                <w:tab w:val="left" w:pos="238"/>
                <w:tab w:val="left" w:pos="567"/>
              </w:tabs>
              <w:ind w:left="0" w:right="-2" w:hanging="2"/>
              <w:jc w:val="both"/>
              <w:rPr>
                <w:sz w:val="22"/>
                <w:szCs w:val="22"/>
              </w:rPr>
            </w:pPr>
            <w:r>
              <w:rPr>
                <w:b/>
                <w:sz w:val="22"/>
                <w:szCs w:val="22"/>
              </w:rPr>
              <w:t>Descrição do problema a ser resolvido ou da necessidade apresentada (artigo 15, caput, §1º do Decreto nº 3.537/2023):</w:t>
            </w:r>
          </w:p>
        </w:tc>
      </w:tr>
    </w:tbl>
    <w:p w:rsidR="00D677D8" w:rsidRDefault="005964FB">
      <w:pPr>
        <w:widowControl w:val="0"/>
        <w:tabs>
          <w:tab w:val="right" w:pos="9071"/>
        </w:tabs>
        <w:ind w:right="-2"/>
        <w:jc w:val="both"/>
        <w:textAlignment w:val="baseline"/>
        <w:rPr>
          <w:sz w:val="22"/>
          <w:szCs w:val="22"/>
        </w:rPr>
      </w:pPr>
      <w:r>
        <w:rPr>
          <w:sz w:val="22"/>
          <w:szCs w:val="22"/>
        </w:rPr>
        <w:tab/>
      </w:r>
      <w:bookmarkStart w:id="0" w:name="_Hlk178578991"/>
      <w:bookmarkEnd w:id="0"/>
    </w:p>
    <w:p w:rsidR="00D677D8" w:rsidRDefault="005964FB">
      <w:pPr>
        <w:tabs>
          <w:tab w:val="left" w:pos="567"/>
        </w:tabs>
        <w:suppressAutoHyphens/>
        <w:spacing w:line="276" w:lineRule="auto"/>
        <w:ind w:right="-2" w:firstLine="567"/>
        <w:jc w:val="both"/>
        <w:textAlignment w:val="top"/>
      </w:pPr>
      <w:r>
        <w:t xml:space="preserve">A presente contratação visa atender à necessidade da Secretaria Municipal de Agricultura de Bandeirantes/PR quanto à aquisição de 01 (uma) Pá Carregadeira sobre rodas nova, zero hora, com recursos oriundos do Convênio nº 160/2025, firmado com a Secretaria de Estado da Agricultura e do Abastecimento – SEAB, conforme registrado no e-protocolo nº 23.790.871-6. </w:t>
      </w:r>
    </w:p>
    <w:p w:rsidR="00D677D8" w:rsidRDefault="005964FB">
      <w:pPr>
        <w:tabs>
          <w:tab w:val="left" w:pos="567"/>
        </w:tabs>
        <w:suppressAutoHyphens/>
        <w:spacing w:line="276" w:lineRule="auto"/>
        <w:ind w:right="-2" w:firstLine="567"/>
        <w:jc w:val="both"/>
        <w:textAlignment w:val="top"/>
      </w:pPr>
      <w:r>
        <w:t xml:space="preserve">A demanda decorre da crescente necessidade de ampliar e qualificar os serviços de apoio à infraestrutura rural no município, especialmente nas ações voltadas à movimentação de materiais, carregamento e descarregamento de insumos agrícolas, limpeza de canais de drenagem, manutenção de estradas vicinais, conformação de aterros e desaterros, e apoio às atividades de conservação de solo e água. Tais atividades são essenciais para o fortalecimento da agricultura familiar e das pequenas propriedades rurais, que representam a base da produção agropecuária local. Segundo o Plano de Trabalho do Convênio, o Município de Bandeirantes apresenta um contexto socioeconômico caracterizado por desafios estruturais no meio rural. De acordo com o Instituto Paranaense de Desenvolvimento Econômico e Social – IPARDES (2022), </w:t>
      </w:r>
      <w:r>
        <w:lastRenderedPageBreak/>
        <w:t xml:space="preserve">o Índice de Desempenho Municipal (IDM) é de 0,7390, classificado como de desempenho médio. O Valor Bruto da Produção (VBP) agropecuária no ano de 2023 alcançou R$ 418.720.844,92, conforme relatório da SEAB/DERAL, situando-se abaixo da média estadual, de R$ 496.288.608,80. </w:t>
      </w:r>
    </w:p>
    <w:p w:rsidR="00D677D8" w:rsidRDefault="005964FB">
      <w:pPr>
        <w:tabs>
          <w:tab w:val="left" w:pos="567"/>
        </w:tabs>
        <w:suppressAutoHyphens/>
        <w:spacing w:line="276" w:lineRule="auto"/>
        <w:ind w:right="-2" w:firstLine="567"/>
        <w:jc w:val="both"/>
        <w:textAlignment w:val="top"/>
      </w:pPr>
      <w:r>
        <w:t xml:space="preserve">O município possui aproximadamente 700 produtores rurais, dos quais 563 integram a agricultura familiar, ou seja, mais de 80% da produção rural municipal está nas mãos da agricultura familiar. Além disso, existem 115 famílias inscritas no CadÚnico, sendo que 66 delas estão abaixo da linha da pobreza, o que demonstra a importância das políticas públicas de apoio à produção agrícola e à permanência do produtor no campo. </w:t>
      </w:r>
    </w:p>
    <w:p w:rsidR="00D677D8" w:rsidRDefault="005964FB">
      <w:pPr>
        <w:tabs>
          <w:tab w:val="left" w:pos="567"/>
        </w:tabs>
        <w:suppressAutoHyphens/>
        <w:spacing w:line="276" w:lineRule="auto"/>
        <w:ind w:right="-2" w:firstLine="567"/>
        <w:jc w:val="both"/>
        <w:textAlignment w:val="top"/>
      </w:pPr>
      <w:r>
        <w:t xml:space="preserve">O mapeamento fundiário, realizado com base em cartas topográficas do IBGE e publicado na revista Engenharia Agrícola, aponta para uma predominância de imóveis rurais com área inferior ao módulo fiscal, especialmente nas regiões mais afastadas, evidenciando os desafios de produtividade e sustentabilidade desses pequenos estabelecimentos. A </w:t>
      </w:r>
      <w:r w:rsidR="000926C8">
        <w:t>frota</w:t>
      </w:r>
      <w:r>
        <w:t xml:space="preserve"> da Secretaria Municipal de Agricultura tem se mostrado insuficiente para atender, com eficiência e agilidade, à crescente demanda por </w:t>
      </w:r>
      <w:r w:rsidR="000926C8">
        <w:t>melhorias na infraestrutura da área rural</w:t>
      </w:r>
      <w:r>
        <w:t xml:space="preserve">. </w:t>
      </w:r>
    </w:p>
    <w:p w:rsidR="00D677D8" w:rsidRDefault="005964FB">
      <w:pPr>
        <w:tabs>
          <w:tab w:val="left" w:pos="567"/>
        </w:tabs>
        <w:suppressAutoHyphens/>
        <w:spacing w:line="276" w:lineRule="auto"/>
        <w:ind w:right="-2" w:firstLine="567"/>
        <w:jc w:val="both"/>
        <w:textAlignment w:val="top"/>
      </w:pPr>
      <w:r>
        <w:t xml:space="preserve">A ausência de equipamentos compatíveis, como a pá carregadeira, tem causado atrasos na execução de obras de infraestrutura rural, comprometendo a implementação de projetos de conservação de solo, a construção de estruturas de contenção, o manejo adequado de resíduos agrícolas e a manutenção de sistemas de drenagem. Diante disso, a aquisição de uma Pá Carregadeira nova, zero hora, representa uma solução estratégica, garantindo maior autonomia, redução de custos com locações terceirizadas, economia com manutenção corretiva, e maior eficiência operacional na execução dos serviços públicos. </w:t>
      </w:r>
    </w:p>
    <w:p w:rsidR="00D677D8" w:rsidRDefault="005964FB">
      <w:pPr>
        <w:tabs>
          <w:tab w:val="left" w:pos="567"/>
        </w:tabs>
        <w:suppressAutoHyphens/>
        <w:spacing w:line="276" w:lineRule="auto"/>
        <w:ind w:right="-2" w:firstLine="567"/>
        <w:jc w:val="both"/>
        <w:textAlignment w:val="top"/>
      </w:pPr>
      <w:r>
        <w:t>Sob a perspectiva do interesse público, a contratação justifica-se não apenas pelo impacto econômico positivo no setor agrícola — principal atividade econômica do município — mas também pela promoção da inclusão produtiva, combate à pobreza rural e sustentabilidade das comunidades do campo. A aquisição deste equipamento viabiliza a efetiva execução do objeto do convênio, conforme previsto no Plano de Trabalho, e contribui para garantir condições dignas para que os agricultores familiares continuem vivendo e produzindo nos bairros rurais, com estímulo à permanência no campo e ao investimento em cadeias produtivas sustentáveis.</w:t>
      </w:r>
    </w:p>
    <w:p w:rsidR="00D677D8" w:rsidRDefault="00D677D8">
      <w:pPr>
        <w:tabs>
          <w:tab w:val="left" w:pos="567"/>
        </w:tabs>
        <w:suppressAutoHyphens/>
        <w:spacing w:line="276" w:lineRule="auto"/>
        <w:ind w:right="-2" w:firstLine="567"/>
        <w:jc w:val="both"/>
        <w:textAlignment w:val="top"/>
      </w:pPr>
    </w:p>
    <w:tbl>
      <w:tblPr>
        <w:tblStyle w:val="Tabelacomgrade"/>
        <w:tblW w:w="9385" w:type="dxa"/>
        <w:tblInd w:w="-5" w:type="dxa"/>
        <w:tblLayout w:type="fixed"/>
        <w:tblLook w:val="04A0"/>
      </w:tblPr>
      <w:tblGrid>
        <w:gridCol w:w="397"/>
        <w:gridCol w:w="3118"/>
        <w:gridCol w:w="426"/>
        <w:gridCol w:w="1446"/>
        <w:gridCol w:w="396"/>
        <w:gridCol w:w="32"/>
        <w:gridCol w:w="819"/>
        <w:gridCol w:w="2751"/>
      </w:tblGrid>
      <w:tr w:rsidR="00D677D8">
        <w:tc>
          <w:tcPr>
            <w:tcW w:w="9385" w:type="dxa"/>
            <w:gridSpan w:val="8"/>
            <w:shd w:val="clear" w:color="auto" w:fill="C6D9F1" w:themeFill="text2" w:themeFillTint="33"/>
          </w:tcPr>
          <w:p w:rsidR="00D677D8" w:rsidRDefault="005964FB">
            <w:pPr>
              <w:ind w:right="-2"/>
              <w:jc w:val="both"/>
              <w:rPr>
                <w:b/>
                <w:bCs/>
                <w:sz w:val="22"/>
                <w:szCs w:val="22"/>
              </w:rPr>
            </w:pPr>
            <w:r>
              <w:rPr>
                <w:b/>
                <w:bCs/>
                <w:sz w:val="22"/>
                <w:szCs w:val="22"/>
              </w:rPr>
              <w:t>2. Alinhamento entre a contratação e o planejamento da Administração (artigo 15, §1º, II, do Decreto nº 3.537/2023):</w:t>
            </w:r>
          </w:p>
        </w:tc>
      </w:tr>
      <w:tr w:rsidR="00D677D8">
        <w:tc>
          <w:tcPr>
            <w:tcW w:w="9385" w:type="dxa"/>
            <w:gridSpan w:val="8"/>
            <w:tcBorders>
              <w:left w:val="nil"/>
              <w:bottom w:val="nil"/>
              <w:right w:val="nil"/>
            </w:tcBorders>
          </w:tcPr>
          <w:p w:rsidR="00D677D8" w:rsidRDefault="00D677D8">
            <w:pPr>
              <w:ind w:right="-2"/>
              <w:jc w:val="both"/>
              <w:rPr>
                <w:sz w:val="22"/>
                <w:szCs w:val="22"/>
              </w:rPr>
            </w:pPr>
          </w:p>
        </w:tc>
      </w:tr>
      <w:tr w:rsidR="00D677D8">
        <w:trPr>
          <w:trHeight w:val="382"/>
        </w:trPr>
        <w:tc>
          <w:tcPr>
            <w:tcW w:w="397" w:type="dxa"/>
          </w:tcPr>
          <w:p w:rsidR="00D677D8" w:rsidRDefault="005964FB">
            <w:pPr>
              <w:ind w:right="-2"/>
              <w:jc w:val="both"/>
              <w:rPr>
                <w:color w:val="FF0000"/>
                <w:sz w:val="22"/>
                <w:szCs w:val="22"/>
              </w:rPr>
            </w:pPr>
            <w:r>
              <w:rPr>
                <w:color w:val="FF0000"/>
                <w:sz w:val="22"/>
                <w:szCs w:val="22"/>
              </w:rPr>
              <w:t>X</w:t>
            </w:r>
          </w:p>
        </w:tc>
        <w:tc>
          <w:tcPr>
            <w:tcW w:w="4990" w:type="dxa"/>
            <w:gridSpan w:val="3"/>
            <w:tcBorders>
              <w:top w:val="nil"/>
              <w:bottom w:val="nil"/>
            </w:tcBorders>
          </w:tcPr>
          <w:p w:rsidR="00D677D8" w:rsidRDefault="005964FB">
            <w:pPr>
              <w:ind w:right="-2"/>
              <w:jc w:val="both"/>
              <w:rPr>
                <w:sz w:val="22"/>
                <w:szCs w:val="22"/>
              </w:rPr>
            </w:pPr>
            <w:r>
              <w:rPr>
                <w:b/>
                <w:bCs/>
                <w:sz w:val="22"/>
                <w:szCs w:val="22"/>
              </w:rPr>
              <w:t>Sim</w:t>
            </w:r>
            <w:r>
              <w:rPr>
                <w:sz w:val="22"/>
                <w:szCs w:val="22"/>
              </w:rPr>
              <w:t xml:space="preserve"> – Especificar Ano: 2025</w:t>
            </w:r>
          </w:p>
        </w:tc>
        <w:tc>
          <w:tcPr>
            <w:tcW w:w="428" w:type="dxa"/>
            <w:gridSpan w:val="2"/>
          </w:tcPr>
          <w:p w:rsidR="00D677D8" w:rsidRDefault="00D677D8">
            <w:pPr>
              <w:ind w:right="-2"/>
              <w:jc w:val="both"/>
              <w:rPr>
                <w:sz w:val="22"/>
                <w:szCs w:val="22"/>
              </w:rPr>
            </w:pPr>
          </w:p>
        </w:tc>
        <w:tc>
          <w:tcPr>
            <w:tcW w:w="3570" w:type="dxa"/>
            <w:gridSpan w:val="2"/>
            <w:tcBorders>
              <w:top w:val="nil"/>
              <w:bottom w:val="nil"/>
              <w:right w:val="nil"/>
            </w:tcBorders>
          </w:tcPr>
          <w:p w:rsidR="00D677D8" w:rsidRDefault="005964FB">
            <w:pPr>
              <w:ind w:right="-2"/>
              <w:jc w:val="both"/>
              <w:rPr>
                <w:sz w:val="22"/>
                <w:szCs w:val="22"/>
              </w:rPr>
            </w:pPr>
            <w:r>
              <w:rPr>
                <w:b/>
                <w:bCs/>
                <w:sz w:val="22"/>
                <w:szCs w:val="22"/>
              </w:rPr>
              <w:t>Não</w:t>
            </w:r>
            <w:r>
              <w:rPr>
                <w:sz w:val="22"/>
                <w:szCs w:val="22"/>
              </w:rPr>
              <w:t xml:space="preserve"> – Justificar em item 2.1.</w:t>
            </w:r>
          </w:p>
        </w:tc>
      </w:tr>
      <w:tr w:rsidR="00D677D8">
        <w:trPr>
          <w:trHeight w:val="100"/>
        </w:trPr>
        <w:tc>
          <w:tcPr>
            <w:tcW w:w="9385" w:type="dxa"/>
            <w:gridSpan w:val="8"/>
            <w:tcBorders>
              <w:top w:val="nil"/>
              <w:left w:val="nil"/>
              <w:bottom w:val="nil"/>
              <w:right w:val="nil"/>
            </w:tcBorders>
          </w:tcPr>
          <w:p w:rsidR="00D677D8" w:rsidRDefault="00D677D8">
            <w:pPr>
              <w:spacing w:line="276" w:lineRule="auto"/>
              <w:ind w:left="-119" w:right="-2" w:hanging="2"/>
              <w:jc w:val="both"/>
              <w:rPr>
                <w:rFonts w:eastAsia="Merriweather"/>
              </w:rPr>
            </w:pPr>
          </w:p>
          <w:p w:rsidR="00D677D8" w:rsidRDefault="005964FB">
            <w:pPr>
              <w:spacing w:line="276" w:lineRule="auto"/>
              <w:ind w:left="-119" w:right="-2" w:hanging="2"/>
              <w:jc w:val="both"/>
            </w:pPr>
            <w:r>
              <w:rPr>
                <w:rFonts w:eastAsia="Merriweather"/>
              </w:rPr>
              <w:t>O objeto da contratação está previsto no Plano de Contratações Anual de 2025, conforme edição  nº 1095, ano: 2025, publicado nos dias 02 de julho de 2025, de acordo com o detalhamento a seguir:</w:t>
            </w:r>
          </w:p>
        </w:tc>
      </w:tr>
      <w:tr w:rsidR="00D677D8">
        <w:tc>
          <w:tcPr>
            <w:tcW w:w="3941" w:type="dxa"/>
            <w:gridSpan w:val="3"/>
            <w:shd w:val="clear" w:color="auto" w:fill="DBE5F1" w:themeFill="accent1" w:themeFillTint="33"/>
          </w:tcPr>
          <w:p w:rsidR="00D677D8" w:rsidRDefault="005964FB">
            <w:pPr>
              <w:ind w:right="-2" w:hanging="2"/>
              <w:jc w:val="center"/>
            </w:pPr>
            <w:r>
              <w:rPr>
                <w:b/>
                <w:sz w:val="22"/>
                <w:szCs w:val="22"/>
              </w:rPr>
              <w:t>SECRETARIA</w:t>
            </w:r>
          </w:p>
        </w:tc>
        <w:tc>
          <w:tcPr>
            <w:tcW w:w="1842" w:type="dxa"/>
            <w:gridSpan w:val="2"/>
            <w:shd w:val="clear" w:color="auto" w:fill="DBE5F1" w:themeFill="accent1" w:themeFillTint="33"/>
            <w:vAlign w:val="center"/>
          </w:tcPr>
          <w:p w:rsidR="00D677D8" w:rsidRDefault="005964FB">
            <w:pPr>
              <w:ind w:right="-2" w:hanging="2"/>
              <w:jc w:val="center"/>
            </w:pPr>
            <w:r>
              <w:rPr>
                <w:b/>
                <w:sz w:val="22"/>
                <w:szCs w:val="22"/>
              </w:rPr>
              <w:t>DEMANDA</w:t>
            </w:r>
          </w:p>
        </w:tc>
        <w:tc>
          <w:tcPr>
            <w:tcW w:w="3602" w:type="dxa"/>
            <w:gridSpan w:val="3"/>
            <w:shd w:val="clear" w:color="auto" w:fill="DBE5F1" w:themeFill="accent1" w:themeFillTint="33"/>
          </w:tcPr>
          <w:p w:rsidR="00D677D8" w:rsidRDefault="005964FB">
            <w:pPr>
              <w:ind w:right="-2" w:hanging="2"/>
              <w:jc w:val="center"/>
            </w:pPr>
            <w:r>
              <w:rPr>
                <w:b/>
                <w:sz w:val="22"/>
                <w:szCs w:val="22"/>
              </w:rPr>
              <w:t>PÁGINA DA EDIÇÃO</w:t>
            </w:r>
          </w:p>
        </w:tc>
      </w:tr>
      <w:tr w:rsidR="00D677D8">
        <w:trPr>
          <w:trHeight w:val="240"/>
        </w:trPr>
        <w:tc>
          <w:tcPr>
            <w:tcW w:w="3941" w:type="dxa"/>
            <w:gridSpan w:val="3"/>
            <w:vAlign w:val="center"/>
          </w:tcPr>
          <w:p w:rsidR="00D677D8" w:rsidRDefault="00D677D8">
            <w:pPr>
              <w:ind w:right="-2" w:hanging="2"/>
            </w:pPr>
          </w:p>
          <w:p w:rsidR="00D677D8" w:rsidRDefault="005964FB">
            <w:pPr>
              <w:ind w:right="-2" w:hanging="2"/>
            </w:pPr>
            <w:r>
              <w:t>AGRICULTURA E PECUÁRIA</w:t>
            </w:r>
          </w:p>
          <w:p w:rsidR="00D677D8" w:rsidRDefault="00D677D8">
            <w:pPr>
              <w:ind w:right="-2" w:hanging="2"/>
            </w:pPr>
          </w:p>
        </w:tc>
        <w:tc>
          <w:tcPr>
            <w:tcW w:w="1842" w:type="dxa"/>
            <w:gridSpan w:val="2"/>
            <w:vAlign w:val="center"/>
          </w:tcPr>
          <w:p w:rsidR="00D677D8" w:rsidRDefault="005964FB">
            <w:pPr>
              <w:ind w:right="-2" w:hanging="2"/>
              <w:jc w:val="center"/>
            </w:pPr>
            <w:r w:rsidRPr="00012566">
              <w:t>SAP0120</w:t>
            </w:r>
          </w:p>
        </w:tc>
        <w:tc>
          <w:tcPr>
            <w:tcW w:w="3602" w:type="dxa"/>
            <w:gridSpan w:val="3"/>
            <w:vAlign w:val="center"/>
          </w:tcPr>
          <w:p w:rsidR="00D677D8" w:rsidRDefault="005964FB">
            <w:pPr>
              <w:tabs>
                <w:tab w:val="left" w:pos="567"/>
              </w:tabs>
              <w:ind w:right="-2" w:hanging="2"/>
              <w:jc w:val="center"/>
            </w:pPr>
            <w:r>
              <w:t>Página 20 de 86</w:t>
            </w:r>
          </w:p>
        </w:tc>
      </w:tr>
      <w:tr w:rsidR="00D677D8">
        <w:tc>
          <w:tcPr>
            <w:tcW w:w="9385" w:type="dxa"/>
            <w:gridSpan w:val="8"/>
            <w:tcBorders>
              <w:top w:val="nil"/>
              <w:left w:val="nil"/>
              <w:bottom w:val="nil"/>
              <w:right w:val="nil"/>
            </w:tcBorders>
          </w:tcPr>
          <w:p w:rsidR="00D677D8" w:rsidRDefault="00D677D8">
            <w:pPr>
              <w:ind w:right="-2"/>
              <w:jc w:val="both"/>
              <w:rPr>
                <w:sz w:val="22"/>
                <w:szCs w:val="22"/>
              </w:rPr>
            </w:pPr>
          </w:p>
        </w:tc>
      </w:tr>
      <w:tr w:rsidR="00D677D8">
        <w:tc>
          <w:tcPr>
            <w:tcW w:w="9385" w:type="dxa"/>
            <w:gridSpan w:val="8"/>
            <w:tcBorders>
              <w:top w:val="nil"/>
              <w:left w:val="nil"/>
              <w:bottom w:val="nil"/>
              <w:right w:val="nil"/>
            </w:tcBorders>
            <w:shd w:val="clear" w:color="auto" w:fill="auto"/>
          </w:tcPr>
          <w:p w:rsidR="00D677D8" w:rsidRDefault="005964FB">
            <w:pPr>
              <w:spacing w:line="276" w:lineRule="auto"/>
              <w:ind w:right="-2"/>
              <w:jc w:val="both"/>
              <w:rPr>
                <w:sz w:val="22"/>
                <w:szCs w:val="22"/>
              </w:rPr>
            </w:pPr>
            <w:r>
              <w:rPr>
                <w:sz w:val="22"/>
                <w:szCs w:val="22"/>
              </w:rPr>
              <w:lastRenderedPageBreak/>
              <w:t xml:space="preserve">2.1. </w:t>
            </w:r>
            <w:r>
              <w:rPr>
                <w:b/>
                <w:bCs/>
                <w:sz w:val="22"/>
                <w:szCs w:val="22"/>
              </w:rPr>
              <w:t>JUSTIFICATIVA SE NEGATIVO</w:t>
            </w:r>
            <w:r>
              <w:rPr>
                <w:sz w:val="22"/>
                <w:szCs w:val="22"/>
              </w:rPr>
              <w:t>: Não se aplica</w:t>
            </w:r>
          </w:p>
          <w:p w:rsidR="00D677D8" w:rsidRDefault="005964FB">
            <w:pPr>
              <w:spacing w:line="276" w:lineRule="auto"/>
              <w:ind w:right="-2"/>
              <w:jc w:val="both"/>
              <w:rPr>
                <w:sz w:val="22"/>
                <w:szCs w:val="22"/>
              </w:rPr>
            </w:pPr>
            <w:r>
              <w:rPr>
                <w:sz w:val="22"/>
                <w:szCs w:val="22"/>
              </w:rPr>
              <w:t>2.2. A contratação está prevista nas seguintes leis orçamentárias:</w:t>
            </w:r>
          </w:p>
          <w:p w:rsidR="00D677D8" w:rsidRDefault="005964FB">
            <w:pPr>
              <w:spacing w:line="276" w:lineRule="auto"/>
              <w:ind w:right="-2"/>
              <w:jc w:val="both"/>
              <w:rPr>
                <w:sz w:val="22"/>
                <w:szCs w:val="22"/>
              </w:rPr>
            </w:pPr>
            <w:r>
              <w:rPr>
                <w:sz w:val="22"/>
                <w:szCs w:val="22"/>
              </w:rPr>
              <w:t>2.2.1.  PPA - Lei n.º 4.057/2021 de 10 de novembro de 2021;</w:t>
            </w:r>
          </w:p>
          <w:p w:rsidR="00D677D8" w:rsidRDefault="005964FB">
            <w:pPr>
              <w:spacing w:line="276" w:lineRule="auto"/>
              <w:ind w:right="-2"/>
              <w:jc w:val="both"/>
              <w:rPr>
                <w:sz w:val="22"/>
                <w:szCs w:val="22"/>
              </w:rPr>
            </w:pPr>
            <w:r>
              <w:rPr>
                <w:sz w:val="22"/>
                <w:szCs w:val="22"/>
              </w:rPr>
              <w:t>2.2.2. LDO - Lei n.º 4.462/2024, de 14 de agosto de 2024;</w:t>
            </w:r>
          </w:p>
          <w:p w:rsidR="00D677D8" w:rsidRDefault="005964FB">
            <w:pPr>
              <w:spacing w:line="276" w:lineRule="auto"/>
              <w:ind w:right="-2"/>
              <w:jc w:val="both"/>
              <w:rPr>
                <w:sz w:val="22"/>
                <w:szCs w:val="22"/>
              </w:rPr>
            </w:pPr>
            <w:r>
              <w:rPr>
                <w:sz w:val="22"/>
                <w:szCs w:val="22"/>
              </w:rPr>
              <w:t>2.2.3. LOA – Lei nº 4.477/2024, de 03 de dezembro de 2024;</w:t>
            </w:r>
          </w:p>
        </w:tc>
      </w:tr>
      <w:tr w:rsidR="00D677D8">
        <w:tc>
          <w:tcPr>
            <w:tcW w:w="9385" w:type="dxa"/>
            <w:gridSpan w:val="8"/>
            <w:tcBorders>
              <w:top w:val="nil"/>
              <w:left w:val="nil"/>
              <w:right w:val="nil"/>
            </w:tcBorders>
          </w:tcPr>
          <w:p w:rsidR="00D677D8" w:rsidRDefault="00D677D8">
            <w:pPr>
              <w:ind w:right="-2"/>
              <w:jc w:val="both"/>
              <w:rPr>
                <w:sz w:val="22"/>
                <w:szCs w:val="22"/>
              </w:rPr>
            </w:pPr>
          </w:p>
        </w:tc>
      </w:tr>
      <w:tr w:rsidR="00D677D8">
        <w:tc>
          <w:tcPr>
            <w:tcW w:w="9385" w:type="dxa"/>
            <w:gridSpan w:val="8"/>
            <w:shd w:val="clear" w:color="auto" w:fill="auto"/>
          </w:tcPr>
          <w:p w:rsidR="00D677D8" w:rsidRDefault="005964FB">
            <w:pPr>
              <w:ind w:right="-2"/>
              <w:jc w:val="both"/>
              <w:rPr>
                <w:b/>
                <w:bCs/>
                <w:sz w:val="22"/>
                <w:szCs w:val="22"/>
              </w:rPr>
            </w:pPr>
            <w:r>
              <w:rPr>
                <w:b/>
                <w:bCs/>
                <w:sz w:val="22"/>
                <w:szCs w:val="22"/>
              </w:rPr>
              <w:t>2.2. CRÉDITOS ORÇAMENTÁRIOS:</w:t>
            </w:r>
          </w:p>
        </w:tc>
      </w:tr>
      <w:tr w:rsidR="00D677D8">
        <w:tc>
          <w:tcPr>
            <w:tcW w:w="9385" w:type="dxa"/>
            <w:gridSpan w:val="8"/>
            <w:shd w:val="clear" w:color="auto" w:fill="auto"/>
          </w:tcPr>
          <w:p w:rsidR="00D677D8" w:rsidRDefault="00D677D8">
            <w:pPr>
              <w:ind w:right="-2"/>
              <w:jc w:val="both"/>
              <w:rPr>
                <w:b/>
                <w:bCs/>
                <w:sz w:val="22"/>
                <w:szCs w:val="22"/>
              </w:rPr>
            </w:pPr>
          </w:p>
        </w:tc>
      </w:tr>
      <w:tr w:rsidR="00D677D8">
        <w:tc>
          <w:tcPr>
            <w:tcW w:w="3515" w:type="dxa"/>
            <w:gridSpan w:val="2"/>
            <w:shd w:val="clear" w:color="auto" w:fill="auto"/>
          </w:tcPr>
          <w:p w:rsidR="00D677D8" w:rsidRDefault="005964FB">
            <w:pPr>
              <w:ind w:right="-2"/>
              <w:jc w:val="center"/>
              <w:rPr>
                <w:b/>
                <w:bCs/>
                <w:sz w:val="22"/>
                <w:szCs w:val="22"/>
              </w:rPr>
            </w:pPr>
            <w:r>
              <w:rPr>
                <w:b/>
                <w:bCs/>
                <w:sz w:val="20"/>
                <w:szCs w:val="20"/>
              </w:rPr>
              <w:t>DOTAÇÃO</w:t>
            </w:r>
          </w:p>
        </w:tc>
        <w:tc>
          <w:tcPr>
            <w:tcW w:w="3119" w:type="dxa"/>
            <w:gridSpan w:val="5"/>
            <w:shd w:val="clear" w:color="auto" w:fill="auto"/>
          </w:tcPr>
          <w:p w:rsidR="00D677D8" w:rsidRDefault="005964FB">
            <w:pPr>
              <w:ind w:right="-2"/>
              <w:jc w:val="center"/>
              <w:rPr>
                <w:b/>
                <w:bCs/>
                <w:sz w:val="22"/>
                <w:szCs w:val="22"/>
              </w:rPr>
            </w:pPr>
            <w:r>
              <w:rPr>
                <w:b/>
                <w:bCs/>
                <w:sz w:val="20"/>
                <w:szCs w:val="20"/>
              </w:rPr>
              <w:t>DESCRIÇÃO</w:t>
            </w:r>
          </w:p>
        </w:tc>
        <w:tc>
          <w:tcPr>
            <w:tcW w:w="2751" w:type="dxa"/>
            <w:shd w:val="clear" w:color="auto" w:fill="auto"/>
          </w:tcPr>
          <w:p w:rsidR="00D677D8" w:rsidRDefault="005964FB">
            <w:pPr>
              <w:ind w:right="-2"/>
              <w:jc w:val="center"/>
              <w:rPr>
                <w:b/>
                <w:bCs/>
                <w:sz w:val="22"/>
                <w:szCs w:val="22"/>
              </w:rPr>
            </w:pPr>
            <w:r>
              <w:rPr>
                <w:b/>
                <w:bCs/>
                <w:sz w:val="20"/>
                <w:szCs w:val="20"/>
              </w:rPr>
              <w:t>RECURSO</w:t>
            </w:r>
          </w:p>
        </w:tc>
      </w:tr>
      <w:tr w:rsidR="00D677D8">
        <w:trPr>
          <w:trHeight w:val="162"/>
        </w:trPr>
        <w:tc>
          <w:tcPr>
            <w:tcW w:w="3515" w:type="dxa"/>
            <w:gridSpan w:val="2"/>
            <w:shd w:val="clear" w:color="auto" w:fill="auto"/>
            <w:vAlign w:val="center"/>
          </w:tcPr>
          <w:p w:rsidR="00D677D8" w:rsidRPr="00763580" w:rsidRDefault="005964FB">
            <w:pPr>
              <w:ind w:right="-2"/>
              <w:jc w:val="center"/>
            </w:pPr>
            <w:r w:rsidRPr="00763580">
              <w:t>0483 0849</w:t>
            </w:r>
          </w:p>
          <w:p w:rsidR="00D677D8" w:rsidRDefault="005964FB">
            <w:pPr>
              <w:ind w:right="-2"/>
              <w:jc w:val="center"/>
            </w:pPr>
            <w:r w:rsidRPr="00763580">
              <w:t>03.99.01.01.1.701.0000 4.4.90.52.00.00</w:t>
            </w:r>
          </w:p>
        </w:tc>
        <w:tc>
          <w:tcPr>
            <w:tcW w:w="3119" w:type="dxa"/>
            <w:gridSpan w:val="5"/>
            <w:shd w:val="clear" w:color="auto" w:fill="auto"/>
            <w:vAlign w:val="center"/>
          </w:tcPr>
          <w:p w:rsidR="00D677D8" w:rsidRDefault="005964FB">
            <w:pPr>
              <w:ind w:right="-2"/>
              <w:jc w:val="center"/>
            </w:pPr>
            <w:r>
              <w:rPr>
                <w:sz w:val="20"/>
                <w:szCs w:val="20"/>
              </w:rPr>
              <w:t>EQUIPAMENTO E MATERIAL PERMANENTE</w:t>
            </w:r>
          </w:p>
        </w:tc>
        <w:tc>
          <w:tcPr>
            <w:tcW w:w="2751" w:type="dxa"/>
            <w:shd w:val="clear" w:color="auto" w:fill="auto"/>
            <w:vAlign w:val="center"/>
          </w:tcPr>
          <w:p w:rsidR="00D677D8" w:rsidRDefault="00A3331D">
            <w:pPr>
              <w:ind w:right="-2"/>
              <w:jc w:val="center"/>
            </w:pPr>
            <w:r w:rsidRPr="00A3331D">
              <w:rPr>
                <w:sz w:val="20"/>
                <w:szCs w:val="20"/>
              </w:rPr>
              <w:t>R$643.887,60</w:t>
            </w:r>
          </w:p>
        </w:tc>
      </w:tr>
    </w:tbl>
    <w:p w:rsidR="00D677D8" w:rsidRDefault="00D677D8">
      <w:pPr>
        <w:ind w:right="-2"/>
        <w:jc w:val="both"/>
        <w:rPr>
          <w:sz w:val="22"/>
          <w:szCs w:val="22"/>
        </w:rPr>
      </w:pPr>
    </w:p>
    <w:tbl>
      <w:tblPr>
        <w:tblStyle w:val="Tabelacomgrade"/>
        <w:tblW w:w="9381" w:type="dxa"/>
        <w:tblInd w:w="-5" w:type="dxa"/>
        <w:tblLayout w:type="fixed"/>
        <w:tblLook w:val="04A0"/>
      </w:tblPr>
      <w:tblGrid>
        <w:gridCol w:w="4283"/>
        <w:gridCol w:w="287"/>
        <w:gridCol w:w="2034"/>
        <w:gridCol w:w="337"/>
        <w:gridCol w:w="2440"/>
      </w:tblGrid>
      <w:tr w:rsidR="00D677D8">
        <w:tc>
          <w:tcPr>
            <w:tcW w:w="9381" w:type="dxa"/>
            <w:gridSpan w:val="5"/>
            <w:tcBorders>
              <w:top w:val="nil"/>
              <w:left w:val="nil"/>
              <w:bottom w:val="nil"/>
              <w:right w:val="nil"/>
            </w:tcBorders>
          </w:tcPr>
          <w:p w:rsidR="00D677D8" w:rsidRDefault="005964FB">
            <w:pPr>
              <w:ind w:left="-108" w:right="-2"/>
              <w:jc w:val="both"/>
              <w:rPr>
                <w:sz w:val="22"/>
                <w:szCs w:val="22"/>
              </w:rPr>
            </w:pPr>
            <w:r>
              <w:rPr>
                <w:b/>
                <w:bCs/>
                <w:sz w:val="22"/>
                <w:szCs w:val="22"/>
              </w:rPr>
              <w:t>2.3. ENQUADRAMENTO DA CONTRATAÇÃO:</w:t>
            </w:r>
          </w:p>
          <w:p w:rsidR="00D677D8" w:rsidRDefault="005964FB">
            <w:pPr>
              <w:ind w:left="-108" w:right="-2"/>
              <w:jc w:val="both"/>
              <w:rPr>
                <w:sz w:val="22"/>
                <w:szCs w:val="22"/>
              </w:rPr>
            </w:pPr>
            <w:r>
              <w:rPr>
                <w:sz w:val="22"/>
                <w:szCs w:val="22"/>
              </w:rPr>
              <w:t>Em conformidade com as normas constantes dos Arts. 16 e 17 da Lei Complementar n° 101, de 04 de maio de 2000 - Lei de Responsabilidade Fiscal, a presente contratação enquadra-se em:</w:t>
            </w:r>
          </w:p>
        </w:tc>
      </w:tr>
      <w:tr w:rsidR="00D677D8">
        <w:tc>
          <w:tcPr>
            <w:tcW w:w="4283" w:type="dxa"/>
            <w:tcBorders>
              <w:top w:val="nil"/>
              <w:left w:val="nil"/>
              <w:bottom w:val="nil"/>
            </w:tcBorders>
          </w:tcPr>
          <w:p w:rsidR="00D677D8" w:rsidRDefault="005964FB">
            <w:pPr>
              <w:ind w:right="-2"/>
              <w:jc w:val="both"/>
              <w:rPr>
                <w:sz w:val="22"/>
                <w:szCs w:val="22"/>
              </w:rPr>
            </w:pPr>
            <w:r>
              <w:rPr>
                <w:sz w:val="22"/>
                <w:szCs w:val="22"/>
              </w:rPr>
              <w:t>Criação ação de governo</w:t>
            </w:r>
          </w:p>
        </w:tc>
        <w:tc>
          <w:tcPr>
            <w:tcW w:w="287" w:type="dxa"/>
          </w:tcPr>
          <w:p w:rsidR="00D677D8" w:rsidRDefault="00D677D8">
            <w:pPr>
              <w:ind w:right="-2"/>
              <w:jc w:val="both"/>
              <w:rPr>
                <w:b/>
                <w:bCs/>
                <w:sz w:val="22"/>
                <w:szCs w:val="22"/>
              </w:rPr>
            </w:pPr>
          </w:p>
        </w:tc>
        <w:tc>
          <w:tcPr>
            <w:tcW w:w="2034" w:type="dxa"/>
            <w:tcBorders>
              <w:top w:val="nil"/>
              <w:bottom w:val="nil"/>
            </w:tcBorders>
          </w:tcPr>
          <w:p w:rsidR="00D677D8" w:rsidRDefault="005964FB">
            <w:pPr>
              <w:ind w:right="-2"/>
              <w:jc w:val="both"/>
              <w:rPr>
                <w:sz w:val="22"/>
                <w:szCs w:val="22"/>
              </w:rPr>
            </w:pPr>
            <w:r>
              <w:rPr>
                <w:sz w:val="22"/>
                <w:szCs w:val="22"/>
              </w:rPr>
              <w:t>Sim</w:t>
            </w:r>
          </w:p>
        </w:tc>
        <w:tc>
          <w:tcPr>
            <w:tcW w:w="337" w:type="dxa"/>
          </w:tcPr>
          <w:p w:rsidR="00D677D8" w:rsidRDefault="005964FB">
            <w:pPr>
              <w:ind w:right="-2"/>
              <w:jc w:val="both"/>
              <w:rPr>
                <w:b/>
                <w:bCs/>
                <w:color w:val="FF0000"/>
                <w:sz w:val="22"/>
                <w:szCs w:val="22"/>
              </w:rPr>
            </w:pPr>
            <w:r>
              <w:rPr>
                <w:b/>
                <w:bCs/>
                <w:color w:val="FF0000"/>
                <w:sz w:val="22"/>
                <w:szCs w:val="22"/>
              </w:rPr>
              <w:t>x</w:t>
            </w:r>
          </w:p>
        </w:tc>
        <w:tc>
          <w:tcPr>
            <w:tcW w:w="2440" w:type="dxa"/>
            <w:tcBorders>
              <w:top w:val="nil"/>
              <w:bottom w:val="nil"/>
              <w:right w:val="nil"/>
            </w:tcBorders>
          </w:tcPr>
          <w:p w:rsidR="00D677D8" w:rsidRDefault="005964FB">
            <w:pPr>
              <w:ind w:right="-2"/>
              <w:jc w:val="both"/>
              <w:rPr>
                <w:sz w:val="22"/>
                <w:szCs w:val="22"/>
              </w:rPr>
            </w:pPr>
            <w:r>
              <w:rPr>
                <w:sz w:val="22"/>
                <w:szCs w:val="22"/>
              </w:rPr>
              <w:t>Não</w:t>
            </w:r>
          </w:p>
        </w:tc>
      </w:tr>
      <w:tr w:rsidR="00D677D8">
        <w:tc>
          <w:tcPr>
            <w:tcW w:w="4283" w:type="dxa"/>
            <w:tcBorders>
              <w:top w:val="nil"/>
              <w:left w:val="nil"/>
              <w:bottom w:val="nil"/>
              <w:right w:val="nil"/>
            </w:tcBorders>
          </w:tcPr>
          <w:p w:rsidR="00D677D8" w:rsidRDefault="00D677D8">
            <w:pPr>
              <w:ind w:right="-2"/>
              <w:jc w:val="both"/>
              <w:rPr>
                <w:sz w:val="22"/>
                <w:szCs w:val="22"/>
              </w:rPr>
            </w:pPr>
          </w:p>
        </w:tc>
        <w:tc>
          <w:tcPr>
            <w:tcW w:w="287" w:type="dxa"/>
            <w:tcBorders>
              <w:left w:val="nil"/>
              <w:right w:val="nil"/>
            </w:tcBorders>
          </w:tcPr>
          <w:p w:rsidR="00D677D8" w:rsidRDefault="00D677D8">
            <w:pPr>
              <w:ind w:right="-2"/>
              <w:jc w:val="both"/>
              <w:rPr>
                <w:b/>
                <w:bCs/>
                <w:sz w:val="22"/>
                <w:szCs w:val="22"/>
              </w:rPr>
            </w:pPr>
          </w:p>
        </w:tc>
        <w:tc>
          <w:tcPr>
            <w:tcW w:w="2034" w:type="dxa"/>
            <w:tcBorders>
              <w:top w:val="nil"/>
              <w:left w:val="nil"/>
              <w:bottom w:val="nil"/>
              <w:right w:val="nil"/>
            </w:tcBorders>
          </w:tcPr>
          <w:p w:rsidR="00D677D8" w:rsidRDefault="00D677D8">
            <w:pPr>
              <w:ind w:right="-2"/>
              <w:jc w:val="both"/>
              <w:rPr>
                <w:sz w:val="22"/>
                <w:szCs w:val="22"/>
              </w:rPr>
            </w:pPr>
          </w:p>
        </w:tc>
        <w:tc>
          <w:tcPr>
            <w:tcW w:w="337" w:type="dxa"/>
            <w:tcBorders>
              <w:left w:val="nil"/>
              <w:right w:val="nil"/>
            </w:tcBorders>
          </w:tcPr>
          <w:p w:rsidR="00D677D8" w:rsidRDefault="00D677D8">
            <w:pPr>
              <w:ind w:right="-2"/>
              <w:jc w:val="both"/>
              <w:rPr>
                <w:b/>
                <w:bCs/>
                <w:color w:val="FF0000"/>
                <w:sz w:val="22"/>
                <w:szCs w:val="22"/>
              </w:rPr>
            </w:pPr>
          </w:p>
        </w:tc>
        <w:tc>
          <w:tcPr>
            <w:tcW w:w="2440" w:type="dxa"/>
            <w:tcBorders>
              <w:top w:val="nil"/>
              <w:left w:val="nil"/>
              <w:bottom w:val="nil"/>
              <w:right w:val="nil"/>
            </w:tcBorders>
          </w:tcPr>
          <w:p w:rsidR="00D677D8" w:rsidRDefault="00D677D8">
            <w:pPr>
              <w:ind w:right="-2"/>
              <w:jc w:val="both"/>
              <w:rPr>
                <w:sz w:val="22"/>
                <w:szCs w:val="22"/>
              </w:rPr>
            </w:pPr>
          </w:p>
        </w:tc>
      </w:tr>
      <w:tr w:rsidR="00D677D8">
        <w:tc>
          <w:tcPr>
            <w:tcW w:w="4283" w:type="dxa"/>
            <w:tcBorders>
              <w:top w:val="nil"/>
              <w:left w:val="nil"/>
              <w:bottom w:val="nil"/>
            </w:tcBorders>
          </w:tcPr>
          <w:p w:rsidR="00D677D8" w:rsidRDefault="005964FB">
            <w:pPr>
              <w:ind w:right="-2"/>
              <w:jc w:val="both"/>
              <w:rPr>
                <w:sz w:val="22"/>
                <w:szCs w:val="22"/>
              </w:rPr>
            </w:pPr>
            <w:r>
              <w:rPr>
                <w:sz w:val="22"/>
                <w:szCs w:val="22"/>
              </w:rPr>
              <w:t>Expansão ação de governo</w:t>
            </w:r>
          </w:p>
        </w:tc>
        <w:tc>
          <w:tcPr>
            <w:tcW w:w="287" w:type="dxa"/>
          </w:tcPr>
          <w:p w:rsidR="00D677D8" w:rsidRDefault="00D677D8">
            <w:pPr>
              <w:ind w:right="-2"/>
              <w:jc w:val="both"/>
              <w:rPr>
                <w:b/>
                <w:bCs/>
                <w:sz w:val="22"/>
                <w:szCs w:val="22"/>
              </w:rPr>
            </w:pPr>
          </w:p>
        </w:tc>
        <w:tc>
          <w:tcPr>
            <w:tcW w:w="2034" w:type="dxa"/>
            <w:tcBorders>
              <w:top w:val="nil"/>
              <w:bottom w:val="nil"/>
            </w:tcBorders>
          </w:tcPr>
          <w:p w:rsidR="00D677D8" w:rsidRDefault="005964FB">
            <w:pPr>
              <w:ind w:right="-2"/>
              <w:jc w:val="both"/>
              <w:rPr>
                <w:sz w:val="22"/>
                <w:szCs w:val="22"/>
              </w:rPr>
            </w:pPr>
            <w:r>
              <w:rPr>
                <w:sz w:val="22"/>
                <w:szCs w:val="22"/>
              </w:rPr>
              <w:t>Sim</w:t>
            </w:r>
          </w:p>
        </w:tc>
        <w:tc>
          <w:tcPr>
            <w:tcW w:w="337" w:type="dxa"/>
          </w:tcPr>
          <w:p w:rsidR="00D677D8" w:rsidRDefault="005964FB">
            <w:pPr>
              <w:ind w:right="-2"/>
              <w:jc w:val="both"/>
              <w:rPr>
                <w:b/>
                <w:bCs/>
                <w:color w:val="FF0000"/>
                <w:sz w:val="22"/>
                <w:szCs w:val="22"/>
              </w:rPr>
            </w:pPr>
            <w:r>
              <w:rPr>
                <w:b/>
                <w:bCs/>
                <w:color w:val="FF0000"/>
                <w:sz w:val="22"/>
                <w:szCs w:val="22"/>
              </w:rPr>
              <w:t>x</w:t>
            </w:r>
          </w:p>
        </w:tc>
        <w:tc>
          <w:tcPr>
            <w:tcW w:w="2440" w:type="dxa"/>
            <w:tcBorders>
              <w:top w:val="nil"/>
              <w:bottom w:val="nil"/>
              <w:right w:val="nil"/>
            </w:tcBorders>
          </w:tcPr>
          <w:p w:rsidR="00D677D8" w:rsidRDefault="005964FB">
            <w:pPr>
              <w:ind w:right="-2"/>
              <w:jc w:val="both"/>
              <w:rPr>
                <w:sz w:val="22"/>
                <w:szCs w:val="22"/>
              </w:rPr>
            </w:pPr>
            <w:r>
              <w:rPr>
                <w:sz w:val="22"/>
                <w:szCs w:val="22"/>
              </w:rPr>
              <w:t>Não</w:t>
            </w:r>
          </w:p>
        </w:tc>
      </w:tr>
      <w:tr w:rsidR="00D677D8">
        <w:tc>
          <w:tcPr>
            <w:tcW w:w="4283" w:type="dxa"/>
            <w:tcBorders>
              <w:top w:val="nil"/>
              <w:left w:val="nil"/>
              <w:bottom w:val="nil"/>
              <w:right w:val="nil"/>
            </w:tcBorders>
          </w:tcPr>
          <w:p w:rsidR="00D677D8" w:rsidRDefault="00D677D8">
            <w:pPr>
              <w:ind w:right="-2"/>
              <w:jc w:val="both"/>
              <w:rPr>
                <w:sz w:val="22"/>
                <w:szCs w:val="22"/>
              </w:rPr>
            </w:pPr>
          </w:p>
        </w:tc>
        <w:tc>
          <w:tcPr>
            <w:tcW w:w="287" w:type="dxa"/>
            <w:tcBorders>
              <w:left w:val="nil"/>
              <w:right w:val="nil"/>
            </w:tcBorders>
          </w:tcPr>
          <w:p w:rsidR="00D677D8" w:rsidRDefault="00D677D8">
            <w:pPr>
              <w:ind w:right="-2"/>
              <w:jc w:val="both"/>
              <w:rPr>
                <w:b/>
                <w:bCs/>
                <w:sz w:val="22"/>
                <w:szCs w:val="22"/>
              </w:rPr>
            </w:pPr>
          </w:p>
        </w:tc>
        <w:tc>
          <w:tcPr>
            <w:tcW w:w="2034" w:type="dxa"/>
            <w:tcBorders>
              <w:top w:val="nil"/>
              <w:left w:val="nil"/>
              <w:bottom w:val="nil"/>
              <w:right w:val="nil"/>
            </w:tcBorders>
          </w:tcPr>
          <w:p w:rsidR="00D677D8" w:rsidRDefault="00D677D8">
            <w:pPr>
              <w:ind w:right="-2"/>
              <w:jc w:val="both"/>
              <w:rPr>
                <w:sz w:val="22"/>
                <w:szCs w:val="22"/>
              </w:rPr>
            </w:pPr>
          </w:p>
        </w:tc>
        <w:tc>
          <w:tcPr>
            <w:tcW w:w="337" w:type="dxa"/>
            <w:tcBorders>
              <w:left w:val="nil"/>
              <w:right w:val="nil"/>
            </w:tcBorders>
          </w:tcPr>
          <w:p w:rsidR="00D677D8" w:rsidRDefault="00D677D8">
            <w:pPr>
              <w:ind w:right="-2"/>
              <w:jc w:val="both"/>
              <w:rPr>
                <w:b/>
                <w:bCs/>
                <w:color w:val="FF0000"/>
                <w:sz w:val="22"/>
                <w:szCs w:val="22"/>
              </w:rPr>
            </w:pPr>
          </w:p>
        </w:tc>
        <w:tc>
          <w:tcPr>
            <w:tcW w:w="2440" w:type="dxa"/>
            <w:tcBorders>
              <w:top w:val="nil"/>
              <w:left w:val="nil"/>
              <w:bottom w:val="nil"/>
              <w:right w:val="nil"/>
            </w:tcBorders>
          </w:tcPr>
          <w:p w:rsidR="00D677D8" w:rsidRDefault="00D677D8">
            <w:pPr>
              <w:ind w:right="-2"/>
              <w:jc w:val="both"/>
              <w:rPr>
                <w:sz w:val="22"/>
                <w:szCs w:val="22"/>
              </w:rPr>
            </w:pPr>
          </w:p>
        </w:tc>
      </w:tr>
      <w:tr w:rsidR="00D677D8">
        <w:tc>
          <w:tcPr>
            <w:tcW w:w="4283" w:type="dxa"/>
            <w:tcBorders>
              <w:top w:val="nil"/>
              <w:left w:val="nil"/>
              <w:bottom w:val="nil"/>
            </w:tcBorders>
          </w:tcPr>
          <w:p w:rsidR="00D677D8" w:rsidRDefault="005964FB">
            <w:pPr>
              <w:ind w:right="-2"/>
              <w:jc w:val="both"/>
              <w:rPr>
                <w:sz w:val="22"/>
                <w:szCs w:val="22"/>
              </w:rPr>
            </w:pPr>
            <w:r>
              <w:rPr>
                <w:sz w:val="22"/>
                <w:szCs w:val="22"/>
              </w:rPr>
              <w:t>Aperfeiçoamento ação de governo</w:t>
            </w:r>
          </w:p>
        </w:tc>
        <w:tc>
          <w:tcPr>
            <w:tcW w:w="287" w:type="dxa"/>
          </w:tcPr>
          <w:p w:rsidR="00D677D8" w:rsidRDefault="005964FB">
            <w:pPr>
              <w:ind w:right="-2"/>
              <w:jc w:val="both"/>
              <w:rPr>
                <w:b/>
                <w:bCs/>
                <w:sz w:val="22"/>
                <w:szCs w:val="22"/>
              </w:rPr>
            </w:pPr>
            <w:r>
              <w:rPr>
                <w:b/>
                <w:bCs/>
                <w:sz w:val="22"/>
                <w:szCs w:val="22"/>
              </w:rPr>
              <w:t>x</w:t>
            </w:r>
          </w:p>
        </w:tc>
        <w:tc>
          <w:tcPr>
            <w:tcW w:w="2034" w:type="dxa"/>
            <w:tcBorders>
              <w:top w:val="nil"/>
              <w:bottom w:val="nil"/>
            </w:tcBorders>
          </w:tcPr>
          <w:p w:rsidR="00D677D8" w:rsidRDefault="005964FB">
            <w:pPr>
              <w:ind w:right="-2"/>
              <w:jc w:val="both"/>
              <w:rPr>
                <w:sz w:val="22"/>
                <w:szCs w:val="22"/>
              </w:rPr>
            </w:pPr>
            <w:r>
              <w:rPr>
                <w:sz w:val="22"/>
                <w:szCs w:val="22"/>
              </w:rPr>
              <w:t>Sim</w:t>
            </w:r>
          </w:p>
        </w:tc>
        <w:tc>
          <w:tcPr>
            <w:tcW w:w="337" w:type="dxa"/>
          </w:tcPr>
          <w:p w:rsidR="00D677D8" w:rsidRDefault="00D677D8">
            <w:pPr>
              <w:ind w:right="-2"/>
              <w:jc w:val="both"/>
              <w:rPr>
                <w:b/>
                <w:bCs/>
                <w:color w:val="FF0000"/>
                <w:sz w:val="22"/>
                <w:szCs w:val="22"/>
              </w:rPr>
            </w:pPr>
          </w:p>
        </w:tc>
        <w:tc>
          <w:tcPr>
            <w:tcW w:w="2440" w:type="dxa"/>
            <w:tcBorders>
              <w:top w:val="nil"/>
              <w:bottom w:val="nil"/>
              <w:right w:val="nil"/>
            </w:tcBorders>
          </w:tcPr>
          <w:p w:rsidR="00D677D8" w:rsidRDefault="005964FB">
            <w:pPr>
              <w:ind w:right="-2"/>
              <w:jc w:val="both"/>
              <w:rPr>
                <w:sz w:val="22"/>
                <w:szCs w:val="22"/>
              </w:rPr>
            </w:pPr>
            <w:r>
              <w:rPr>
                <w:sz w:val="22"/>
                <w:szCs w:val="22"/>
              </w:rPr>
              <w:t>Não</w:t>
            </w:r>
          </w:p>
        </w:tc>
      </w:tr>
    </w:tbl>
    <w:p w:rsidR="00D677D8" w:rsidRDefault="00D677D8">
      <w:pPr>
        <w:ind w:right="-2"/>
        <w:jc w:val="both"/>
        <w:rPr>
          <w:sz w:val="22"/>
          <w:szCs w:val="22"/>
        </w:rPr>
      </w:pPr>
    </w:p>
    <w:p w:rsidR="00D677D8" w:rsidRDefault="005964FB">
      <w:pPr>
        <w:spacing w:line="276" w:lineRule="auto"/>
        <w:ind w:right="-2"/>
        <w:jc w:val="both"/>
        <w:rPr>
          <w:sz w:val="22"/>
          <w:szCs w:val="22"/>
        </w:rPr>
      </w:pPr>
      <w:r>
        <w:rPr>
          <w:b/>
          <w:sz w:val="22"/>
          <w:szCs w:val="22"/>
        </w:rPr>
        <w:t xml:space="preserve">Justificativa: </w:t>
      </w:r>
      <w:r>
        <w:rPr>
          <w:sz w:val="22"/>
          <w:szCs w:val="22"/>
        </w:rPr>
        <w:t>A contratação não implica na criação ou expansão de ações de governo, uma vez que não se trata de implantação de nova política pública ou ampliação do escopo de atendimento além do já pr</w:t>
      </w:r>
      <w:r>
        <w:rPr>
          <w:sz w:val="22"/>
          <w:szCs w:val="22"/>
        </w:rPr>
        <w:t>e</w:t>
      </w:r>
      <w:r>
        <w:rPr>
          <w:sz w:val="22"/>
          <w:szCs w:val="22"/>
        </w:rPr>
        <w:t>visto no planejamento municipal. Trata-se do aperfeiçoamento de ação de governo existente, consistente no fortalecimento da frota de veículos pesados da Secretaria Municipal de Agricultura e Pecuária, visando à melhoria da infraestrutura rural, manutenção e recuperação de estradas vicinais, bem como apoio às atividades operacionais no campo.</w:t>
      </w:r>
    </w:p>
    <w:p w:rsidR="00D677D8" w:rsidRDefault="00D677D8">
      <w:pPr>
        <w:spacing w:line="276" w:lineRule="auto"/>
        <w:ind w:right="-2"/>
        <w:jc w:val="both"/>
        <w:rPr>
          <w:sz w:val="22"/>
          <w:szCs w:val="22"/>
        </w:rPr>
      </w:pPr>
    </w:p>
    <w:p w:rsidR="00D677D8" w:rsidRDefault="005964FB">
      <w:pPr>
        <w:spacing w:line="276" w:lineRule="auto"/>
        <w:ind w:right="-2"/>
        <w:jc w:val="both"/>
        <w:rPr>
          <w:sz w:val="22"/>
          <w:szCs w:val="22"/>
        </w:rPr>
      </w:pPr>
      <w:r>
        <w:rPr>
          <w:sz w:val="22"/>
          <w:szCs w:val="22"/>
        </w:rPr>
        <w:t>O investimento, oriundo do Convênio nº 160/2025 – SIT 72669 (SEAB), está devidamente previsto no Plano Plurianual (PPA), na Lei de Diretrizes Orçamentárias (LDO) e dotação específica da Lei Orçame</w:t>
      </w:r>
      <w:r>
        <w:rPr>
          <w:sz w:val="22"/>
          <w:szCs w:val="22"/>
        </w:rPr>
        <w:t>n</w:t>
      </w:r>
      <w:r>
        <w:rPr>
          <w:sz w:val="22"/>
          <w:szCs w:val="22"/>
        </w:rPr>
        <w:t>tária Anual (LOA), atendendo ao art. 16, §1º, da LRF. Ademais, não acarretará aumento permanente de despesas obrigatórias, tratando-se de aquisição de bens patrimoniais com recursos previamente assegur</w:t>
      </w:r>
      <w:r>
        <w:rPr>
          <w:sz w:val="22"/>
          <w:szCs w:val="22"/>
        </w:rPr>
        <w:t>a</w:t>
      </w:r>
      <w:r>
        <w:rPr>
          <w:sz w:val="22"/>
          <w:szCs w:val="22"/>
        </w:rPr>
        <w:t>dos e impacto financeiro já considerado no planejamento orçamentário.</w:t>
      </w:r>
    </w:p>
    <w:p w:rsidR="00D677D8" w:rsidRDefault="00D677D8">
      <w:pPr>
        <w:ind w:right="-2"/>
        <w:jc w:val="both"/>
        <w:rPr>
          <w:sz w:val="22"/>
          <w:szCs w:val="22"/>
        </w:rPr>
      </w:pPr>
    </w:p>
    <w:tbl>
      <w:tblPr>
        <w:tblStyle w:val="Tabelacomgrade"/>
        <w:tblW w:w="9479" w:type="dxa"/>
        <w:tblInd w:w="-15" w:type="dxa"/>
        <w:tblLayout w:type="fixed"/>
        <w:tblLook w:val="04A0"/>
      </w:tblPr>
      <w:tblGrid>
        <w:gridCol w:w="9479"/>
      </w:tblGrid>
      <w:tr w:rsidR="00D677D8">
        <w:tc>
          <w:tcPr>
            <w:tcW w:w="9479" w:type="dxa"/>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rsidR="00D677D8" w:rsidRDefault="005964FB">
            <w:pPr>
              <w:pStyle w:val="PargrafodaLista"/>
              <w:tabs>
                <w:tab w:val="left" w:pos="300"/>
              </w:tabs>
              <w:ind w:left="0" w:right="-2"/>
              <w:jc w:val="both"/>
              <w:rPr>
                <w:b/>
                <w:sz w:val="22"/>
                <w:szCs w:val="22"/>
              </w:rPr>
            </w:pPr>
            <w:r>
              <w:rPr>
                <w:b/>
                <w:sz w:val="22"/>
                <w:szCs w:val="22"/>
              </w:rPr>
              <w:t>3. Descrição dos requisitos da potencial contratação (artigo 15, §1º, III, do Decreto nº 3.537/2023):</w:t>
            </w:r>
          </w:p>
          <w:p w:rsidR="00D677D8" w:rsidRDefault="00D677D8">
            <w:pPr>
              <w:pStyle w:val="PargrafodaLista"/>
              <w:tabs>
                <w:tab w:val="left" w:pos="300"/>
              </w:tabs>
              <w:ind w:left="0" w:right="-2"/>
              <w:jc w:val="both"/>
              <w:rPr>
                <w:sz w:val="22"/>
                <w:szCs w:val="22"/>
              </w:rPr>
            </w:pPr>
          </w:p>
        </w:tc>
      </w:tr>
    </w:tbl>
    <w:p w:rsidR="00D677D8" w:rsidRDefault="00D677D8">
      <w:pPr>
        <w:pStyle w:val="PargrafodaLista"/>
        <w:tabs>
          <w:tab w:val="left" w:pos="284"/>
        </w:tabs>
        <w:spacing w:line="276" w:lineRule="auto"/>
        <w:ind w:left="0" w:right="-2"/>
        <w:jc w:val="both"/>
        <w:rPr>
          <w:b/>
          <w:sz w:val="22"/>
          <w:szCs w:val="22"/>
        </w:rPr>
      </w:pPr>
    </w:p>
    <w:p w:rsidR="00D677D8" w:rsidRDefault="005964FB">
      <w:pPr>
        <w:numPr>
          <w:ilvl w:val="0"/>
          <w:numId w:val="3"/>
        </w:numPr>
        <w:tabs>
          <w:tab w:val="left" w:pos="284"/>
        </w:tabs>
        <w:spacing w:line="276" w:lineRule="auto"/>
        <w:ind w:right="-2"/>
        <w:jc w:val="both"/>
        <w:rPr>
          <w:b/>
          <w:sz w:val="22"/>
          <w:szCs w:val="22"/>
        </w:rPr>
      </w:pPr>
      <w:r>
        <w:rPr>
          <w:b/>
          <w:sz w:val="22"/>
          <w:szCs w:val="22"/>
        </w:rPr>
        <w:t>Requisitos necessários ao atendimento da necessidade:</w:t>
      </w:r>
    </w:p>
    <w:p w:rsidR="00FD7C98" w:rsidRPr="00FD7C98" w:rsidRDefault="005964FB" w:rsidP="00FD7C98">
      <w:pPr>
        <w:pStyle w:val="PargrafodaLista"/>
        <w:tabs>
          <w:tab w:val="left" w:pos="284"/>
        </w:tabs>
        <w:spacing w:line="276" w:lineRule="auto"/>
        <w:ind w:right="-2"/>
        <w:jc w:val="both"/>
        <w:rPr>
          <w:sz w:val="22"/>
          <w:szCs w:val="22"/>
        </w:rPr>
      </w:pPr>
      <w:r>
        <w:rPr>
          <w:sz w:val="22"/>
          <w:szCs w:val="22"/>
        </w:rPr>
        <w:tab/>
      </w:r>
      <w:r w:rsidR="00FD7C98" w:rsidRPr="00FD7C98">
        <w:rPr>
          <w:sz w:val="22"/>
          <w:szCs w:val="22"/>
        </w:rPr>
        <w:t>A presente contratação tem por finalidade a aquisição de 01 (uma) pá carregadeira sobre rodas, nova, zero hora, destinada à Secretaria Municipal de Agricultura e Pecuária de Bandeira</w:t>
      </w:r>
      <w:r w:rsidR="00FD7C98" w:rsidRPr="00FD7C98">
        <w:rPr>
          <w:sz w:val="22"/>
          <w:szCs w:val="22"/>
        </w:rPr>
        <w:t>n</w:t>
      </w:r>
      <w:r w:rsidR="00FD7C98" w:rsidRPr="00FD7C98">
        <w:rPr>
          <w:sz w:val="22"/>
          <w:szCs w:val="22"/>
        </w:rPr>
        <w:t>tes/PR, com vistas a fortalecer a infraestrutura rural do Município. O equipamento será utilizado em atividades de movimentação de materiais, carregamento e descarregamento de insumos agr</w:t>
      </w:r>
      <w:r w:rsidR="00FD7C98" w:rsidRPr="00FD7C98">
        <w:rPr>
          <w:sz w:val="22"/>
          <w:szCs w:val="22"/>
        </w:rPr>
        <w:t>í</w:t>
      </w:r>
      <w:r w:rsidR="00FD7C98" w:rsidRPr="00FD7C98">
        <w:rPr>
          <w:sz w:val="22"/>
          <w:szCs w:val="22"/>
        </w:rPr>
        <w:t>colas, limpeza e desobstrução de canais de drenagem, manutenção de estradas vicinais, confo</w:t>
      </w:r>
      <w:r w:rsidR="00FD7C98" w:rsidRPr="00FD7C98">
        <w:rPr>
          <w:sz w:val="22"/>
          <w:szCs w:val="22"/>
        </w:rPr>
        <w:t>r</w:t>
      </w:r>
      <w:r w:rsidR="00FD7C98" w:rsidRPr="00FD7C98">
        <w:rPr>
          <w:sz w:val="22"/>
          <w:szCs w:val="22"/>
        </w:rPr>
        <w:t>mação de aterros e desaterros e suporte às práticas de conservação de solo e água, garantindo maior eficiência operacional e melhoria na prestação dos serviços públicos aos produtores rurais.</w:t>
      </w:r>
    </w:p>
    <w:p w:rsidR="00FD7C98" w:rsidRPr="00FD7C98" w:rsidRDefault="00FD7C98" w:rsidP="00FD7C98">
      <w:pPr>
        <w:pStyle w:val="PargrafodaLista"/>
        <w:tabs>
          <w:tab w:val="left" w:pos="284"/>
        </w:tabs>
        <w:spacing w:line="276" w:lineRule="auto"/>
        <w:ind w:right="-2"/>
        <w:jc w:val="both"/>
        <w:rPr>
          <w:sz w:val="22"/>
          <w:szCs w:val="22"/>
        </w:rPr>
      </w:pPr>
    </w:p>
    <w:p w:rsidR="00FD7C98" w:rsidRPr="00FD7C98" w:rsidRDefault="00FD7C98" w:rsidP="00FD7C98">
      <w:pPr>
        <w:pStyle w:val="PargrafodaLista"/>
        <w:tabs>
          <w:tab w:val="left" w:pos="284"/>
        </w:tabs>
        <w:spacing w:line="276" w:lineRule="auto"/>
        <w:ind w:right="-2"/>
        <w:jc w:val="both"/>
        <w:rPr>
          <w:sz w:val="22"/>
          <w:szCs w:val="22"/>
        </w:rPr>
      </w:pPr>
      <w:r>
        <w:rPr>
          <w:sz w:val="22"/>
          <w:szCs w:val="22"/>
        </w:rPr>
        <w:lastRenderedPageBreak/>
        <w:tab/>
      </w:r>
      <w:r w:rsidRPr="00FD7C98">
        <w:rPr>
          <w:sz w:val="22"/>
          <w:szCs w:val="22"/>
        </w:rPr>
        <w:t>O equipamento deverá ser apropriado para uso intensivo em ambiente rural, possuir m</w:t>
      </w:r>
      <w:r w:rsidRPr="00FD7C98">
        <w:rPr>
          <w:sz w:val="22"/>
          <w:szCs w:val="22"/>
        </w:rPr>
        <w:t>o</w:t>
      </w:r>
      <w:r w:rsidRPr="00FD7C98">
        <w:rPr>
          <w:sz w:val="22"/>
          <w:szCs w:val="22"/>
        </w:rPr>
        <w:t>tor a diesel em conformidade com as normas ambientais vigentes, cabine fechada e climatizada com certificação de segurança ROPS/FOPS, sistema hidráulico eficiente para controle da caça</w:t>
      </w:r>
      <w:r w:rsidRPr="00FD7C98">
        <w:rPr>
          <w:sz w:val="22"/>
          <w:szCs w:val="22"/>
        </w:rPr>
        <w:t>m</w:t>
      </w:r>
      <w:r w:rsidRPr="00FD7C98">
        <w:rPr>
          <w:sz w:val="22"/>
          <w:szCs w:val="22"/>
        </w:rPr>
        <w:t>ba e dos acessórios de operação, além de apresentar desempenho compatível com as demandas da Secretaria Municipal de Agricultura. Todos os itens e componentes deverão ser originais de f</w:t>
      </w:r>
      <w:r w:rsidRPr="00FD7C98">
        <w:rPr>
          <w:sz w:val="22"/>
          <w:szCs w:val="22"/>
        </w:rPr>
        <w:t>á</w:t>
      </w:r>
      <w:r w:rsidRPr="00FD7C98">
        <w:rPr>
          <w:sz w:val="22"/>
          <w:szCs w:val="22"/>
        </w:rPr>
        <w:t>brica, acompanhados de manuais técnicos em língua portuguesa, garantindo segurança, durabil</w:t>
      </w:r>
      <w:r w:rsidRPr="00FD7C98">
        <w:rPr>
          <w:sz w:val="22"/>
          <w:szCs w:val="22"/>
        </w:rPr>
        <w:t>i</w:t>
      </w:r>
      <w:r w:rsidRPr="00FD7C98">
        <w:rPr>
          <w:sz w:val="22"/>
          <w:szCs w:val="22"/>
        </w:rPr>
        <w:t>dade e adequada operação.</w:t>
      </w:r>
    </w:p>
    <w:p w:rsidR="00FD7C98" w:rsidRPr="00FD7C98" w:rsidRDefault="00FD7C98" w:rsidP="00FD7C98">
      <w:pPr>
        <w:pStyle w:val="PargrafodaLista"/>
        <w:tabs>
          <w:tab w:val="left" w:pos="284"/>
        </w:tabs>
        <w:spacing w:line="276" w:lineRule="auto"/>
        <w:ind w:right="-2"/>
        <w:jc w:val="both"/>
        <w:rPr>
          <w:sz w:val="22"/>
          <w:szCs w:val="22"/>
        </w:rPr>
      </w:pPr>
    </w:p>
    <w:p w:rsidR="00FD7C98" w:rsidRPr="00FD7C98" w:rsidRDefault="00FD7C98" w:rsidP="00FD7C98">
      <w:pPr>
        <w:pStyle w:val="PargrafodaLista"/>
        <w:tabs>
          <w:tab w:val="left" w:pos="284"/>
        </w:tabs>
        <w:spacing w:line="276" w:lineRule="auto"/>
        <w:ind w:right="-2"/>
        <w:jc w:val="both"/>
        <w:rPr>
          <w:sz w:val="22"/>
          <w:szCs w:val="22"/>
        </w:rPr>
      </w:pPr>
      <w:r>
        <w:rPr>
          <w:sz w:val="22"/>
          <w:szCs w:val="22"/>
        </w:rPr>
        <w:tab/>
      </w:r>
    </w:p>
    <w:p w:rsidR="00D677D8" w:rsidRDefault="005964FB">
      <w:pPr>
        <w:tabs>
          <w:tab w:val="left" w:pos="284"/>
        </w:tabs>
        <w:spacing w:line="276" w:lineRule="auto"/>
        <w:ind w:right="-2"/>
        <w:jc w:val="both"/>
        <w:rPr>
          <w:b/>
          <w:sz w:val="22"/>
          <w:szCs w:val="22"/>
        </w:rPr>
      </w:pPr>
      <w:r>
        <w:rPr>
          <w:b/>
          <w:sz w:val="22"/>
          <w:szCs w:val="22"/>
        </w:rPr>
        <w:t>b) Padrões mínimos de qualidade relativos ao objeto:</w:t>
      </w:r>
    </w:p>
    <w:p w:rsidR="00D677D8" w:rsidRDefault="005964FB">
      <w:pPr>
        <w:pStyle w:val="PargrafodaLista"/>
        <w:tabs>
          <w:tab w:val="left" w:pos="284"/>
        </w:tabs>
        <w:spacing w:line="276" w:lineRule="auto"/>
        <w:ind w:right="-2"/>
        <w:jc w:val="both"/>
        <w:rPr>
          <w:sz w:val="22"/>
          <w:szCs w:val="22"/>
        </w:rPr>
      </w:pPr>
      <w:r>
        <w:rPr>
          <w:sz w:val="22"/>
          <w:szCs w:val="22"/>
        </w:rPr>
        <w:t>A pá carregadeira deverá ser fabricada no ano da aquisição, atender integralmente às normas de segurança, ergonomia e emissão de poluentes vigentes no território nacional, possuir certificações técnicas aplicáveis e ser entregue com todos os itens originais de fábrica, manuais de operação e garantia mínima de 12 (doze) meses. Deverá contar com assistência técnica autorizada em territ</w:t>
      </w:r>
      <w:r>
        <w:rPr>
          <w:sz w:val="22"/>
          <w:szCs w:val="22"/>
        </w:rPr>
        <w:t>ó</w:t>
      </w:r>
      <w:r>
        <w:rPr>
          <w:sz w:val="22"/>
          <w:szCs w:val="22"/>
        </w:rPr>
        <w:t>rio nacional e disponibilidade de peças de reposição, de modo a assegurar a continuidade dos se</w:t>
      </w:r>
      <w:r>
        <w:rPr>
          <w:sz w:val="22"/>
          <w:szCs w:val="22"/>
        </w:rPr>
        <w:t>r</w:t>
      </w:r>
      <w:r>
        <w:rPr>
          <w:sz w:val="22"/>
          <w:szCs w:val="22"/>
        </w:rPr>
        <w:t>viços públicos de apoio às atividades rurais.</w:t>
      </w:r>
    </w:p>
    <w:p w:rsidR="00D677D8" w:rsidRDefault="00D677D8">
      <w:pPr>
        <w:pStyle w:val="PargrafodaLista"/>
        <w:tabs>
          <w:tab w:val="left" w:pos="284"/>
        </w:tabs>
        <w:spacing w:line="276" w:lineRule="auto"/>
        <w:ind w:left="0" w:right="-2"/>
        <w:jc w:val="both"/>
        <w:rPr>
          <w:sz w:val="22"/>
          <w:szCs w:val="22"/>
        </w:rPr>
      </w:pPr>
    </w:p>
    <w:p w:rsidR="00D677D8" w:rsidRDefault="005964FB">
      <w:pPr>
        <w:tabs>
          <w:tab w:val="left" w:pos="284"/>
        </w:tabs>
        <w:spacing w:line="276" w:lineRule="auto"/>
        <w:ind w:right="-2"/>
        <w:jc w:val="both"/>
        <w:rPr>
          <w:b/>
          <w:sz w:val="22"/>
          <w:szCs w:val="22"/>
        </w:rPr>
      </w:pPr>
      <w:r>
        <w:rPr>
          <w:b/>
          <w:sz w:val="22"/>
          <w:szCs w:val="22"/>
        </w:rPr>
        <w:t>c) Prazo de disponibilidade da solução à Administração:</w:t>
      </w:r>
    </w:p>
    <w:p w:rsidR="00D677D8" w:rsidRDefault="005964FB" w:rsidP="00FD7C98">
      <w:pPr>
        <w:pStyle w:val="PargrafodaLista"/>
        <w:tabs>
          <w:tab w:val="left" w:pos="284"/>
        </w:tabs>
        <w:spacing w:line="276" w:lineRule="auto"/>
        <w:ind w:right="-2"/>
        <w:jc w:val="both"/>
        <w:rPr>
          <w:sz w:val="22"/>
          <w:szCs w:val="22"/>
        </w:rPr>
      </w:pPr>
      <w:r>
        <w:rPr>
          <w:sz w:val="22"/>
          <w:szCs w:val="22"/>
        </w:rPr>
        <w:t>O prazo de vida útil estimado do equipamento, considerando o regime de uso e a manutenção preventiva periódica, é de no mínimo 10 (dez) anos, podendo ser prolongado mediante revisões e reparos adequados. A garantia ofertada deverá ter vigência mínima de 12 (doze) meses, contados do recebimento definitivo, incluindo mão de obra, peças e deslocamento técnico.</w:t>
      </w:r>
    </w:p>
    <w:p w:rsidR="00D677D8" w:rsidRDefault="00D677D8">
      <w:pPr>
        <w:pStyle w:val="PargrafodaLista"/>
        <w:tabs>
          <w:tab w:val="left" w:pos="284"/>
        </w:tabs>
        <w:spacing w:line="276" w:lineRule="auto"/>
        <w:ind w:left="0" w:right="-2"/>
        <w:jc w:val="both"/>
        <w:rPr>
          <w:sz w:val="22"/>
          <w:szCs w:val="22"/>
        </w:rPr>
      </w:pPr>
    </w:p>
    <w:tbl>
      <w:tblPr>
        <w:tblStyle w:val="Tabelacomgrade"/>
        <w:tblW w:w="9344" w:type="dxa"/>
        <w:tblLayout w:type="fixed"/>
        <w:tblLook w:val="04A0"/>
      </w:tblPr>
      <w:tblGrid>
        <w:gridCol w:w="9344"/>
      </w:tblGrid>
      <w:tr w:rsidR="00D677D8">
        <w:tc>
          <w:tcPr>
            <w:tcW w:w="9344" w:type="dxa"/>
            <w:tcBorders>
              <w:top w:val="nil"/>
              <w:left w:val="nil"/>
              <w:bottom w:val="nil"/>
              <w:right w:val="nil"/>
            </w:tcBorders>
            <w:shd w:val="clear" w:color="auto" w:fill="365F91" w:themeFill="accent1" w:themeFillShade="BF"/>
          </w:tcPr>
          <w:p w:rsidR="00D677D8" w:rsidRDefault="005964FB">
            <w:pPr>
              <w:ind w:right="-2"/>
              <w:jc w:val="both"/>
              <w:rPr>
                <w:sz w:val="22"/>
                <w:szCs w:val="22"/>
              </w:rPr>
            </w:pPr>
            <w:r>
              <w:rPr>
                <w:b/>
                <w:bCs/>
                <w:color w:val="FFFFFF" w:themeColor="background1"/>
                <w:sz w:val="22"/>
                <w:szCs w:val="22"/>
              </w:rPr>
              <w:t>III - Prospecção de Soluções (artigo 15, §1º, V e VI):</w:t>
            </w:r>
          </w:p>
        </w:tc>
      </w:tr>
      <w:tr w:rsidR="00D677D8">
        <w:tc>
          <w:tcPr>
            <w:tcW w:w="9344" w:type="dxa"/>
            <w:tcBorders>
              <w:top w:val="nil"/>
              <w:left w:val="nil"/>
              <w:bottom w:val="single" w:sz="12" w:space="0" w:color="17365D"/>
              <w:right w:val="nil"/>
            </w:tcBorders>
            <w:shd w:val="clear" w:color="auto" w:fill="FFFFFF" w:themeFill="background1"/>
          </w:tcPr>
          <w:p w:rsidR="00D677D8" w:rsidRDefault="00D677D8">
            <w:pPr>
              <w:ind w:right="-2"/>
              <w:jc w:val="both"/>
              <w:rPr>
                <w:b/>
                <w:bCs/>
                <w:color w:val="FFFFFF" w:themeColor="background1"/>
                <w:sz w:val="22"/>
                <w:szCs w:val="22"/>
              </w:rPr>
            </w:pPr>
          </w:p>
        </w:tc>
      </w:tr>
      <w:tr w:rsidR="00D677D8">
        <w:tc>
          <w:tcPr>
            <w:tcW w:w="9344" w:type="dxa"/>
            <w:tcBorders>
              <w:top w:val="single" w:sz="12" w:space="0" w:color="17365D"/>
              <w:left w:val="single" w:sz="12" w:space="0" w:color="17365D"/>
              <w:bottom w:val="single" w:sz="12" w:space="0" w:color="17365D"/>
              <w:right w:val="single" w:sz="12" w:space="0" w:color="17365D"/>
            </w:tcBorders>
            <w:shd w:val="clear" w:color="auto" w:fill="C6D9F1" w:themeFill="text2" w:themeFillTint="33"/>
          </w:tcPr>
          <w:p w:rsidR="00D677D8" w:rsidRDefault="005964FB">
            <w:pPr>
              <w:pStyle w:val="PargrafodaLista"/>
              <w:numPr>
                <w:ilvl w:val="0"/>
                <w:numId w:val="4"/>
              </w:numPr>
              <w:tabs>
                <w:tab w:val="left" w:pos="320"/>
              </w:tabs>
              <w:ind w:left="0" w:right="-2" w:hanging="2"/>
              <w:jc w:val="both"/>
              <w:rPr>
                <w:sz w:val="22"/>
                <w:szCs w:val="22"/>
              </w:rPr>
            </w:pPr>
            <w:r>
              <w:rPr>
                <w:b/>
                <w:bCs/>
                <w:sz w:val="22"/>
                <w:szCs w:val="22"/>
              </w:rPr>
              <w:t>Levantamento de Mercado (artigo 15, §1º V, do Decreto nº 3.537/2023):</w:t>
            </w:r>
          </w:p>
        </w:tc>
      </w:tr>
    </w:tbl>
    <w:p w:rsidR="00D677D8" w:rsidRDefault="00D677D8">
      <w:pPr>
        <w:ind w:right="-2"/>
        <w:jc w:val="both"/>
        <w:rPr>
          <w:sz w:val="22"/>
          <w:szCs w:val="22"/>
        </w:rPr>
      </w:pPr>
    </w:p>
    <w:p w:rsidR="00AB73C4" w:rsidRPr="00AB73C4" w:rsidRDefault="00AB73C4" w:rsidP="00AB73C4">
      <w:pPr>
        <w:ind w:right="-2"/>
        <w:jc w:val="both"/>
        <w:rPr>
          <w:sz w:val="22"/>
          <w:szCs w:val="22"/>
        </w:rPr>
      </w:pPr>
      <w:r>
        <w:rPr>
          <w:sz w:val="22"/>
          <w:szCs w:val="22"/>
        </w:rPr>
        <w:tab/>
      </w:r>
      <w:r w:rsidRPr="00AB73C4">
        <w:rPr>
          <w:sz w:val="22"/>
          <w:szCs w:val="22"/>
        </w:rPr>
        <w:t>A presente contratação tem por objeto a aquisição de 01 (uma) pá carregadeira sobre rodas, nova, zero hora, destinada à Secretaria Municipal de Agricultura e Pecuária do Município de Bandeirantes/PR, com recursos oriundos do Convênio nº 160/2025 – SIT 72669, firmado com a Secretaria de Estado da Agricultura e do Abastecimento – SEAB. O referido convênio tem como finalidade a renovação e mode</w:t>
      </w:r>
      <w:r w:rsidRPr="00AB73C4">
        <w:rPr>
          <w:sz w:val="22"/>
          <w:szCs w:val="22"/>
        </w:rPr>
        <w:t>r</w:t>
      </w:r>
      <w:r w:rsidRPr="00AB73C4">
        <w:rPr>
          <w:sz w:val="22"/>
          <w:szCs w:val="22"/>
        </w:rPr>
        <w:t>nização da frota municipal, voltada à melhoria da infraestrutura rural, por meio da disponibilização de equipamentos permanentes que assegurem maior eficiência na execução de serviços públicos essenciais.</w:t>
      </w:r>
    </w:p>
    <w:p w:rsidR="00AB73C4" w:rsidRPr="00AB73C4" w:rsidRDefault="00AB73C4" w:rsidP="00AB73C4">
      <w:pPr>
        <w:ind w:right="-2"/>
        <w:jc w:val="both"/>
        <w:rPr>
          <w:sz w:val="22"/>
          <w:szCs w:val="22"/>
        </w:rPr>
      </w:pPr>
    </w:p>
    <w:p w:rsidR="00AB73C4" w:rsidRPr="00AB73C4" w:rsidRDefault="00AB73C4" w:rsidP="00AB73C4">
      <w:pPr>
        <w:ind w:right="-2"/>
        <w:jc w:val="both"/>
        <w:rPr>
          <w:sz w:val="22"/>
          <w:szCs w:val="22"/>
        </w:rPr>
      </w:pPr>
      <w:r>
        <w:rPr>
          <w:sz w:val="22"/>
          <w:szCs w:val="22"/>
        </w:rPr>
        <w:tab/>
      </w:r>
      <w:r w:rsidRPr="00AB73C4">
        <w:rPr>
          <w:sz w:val="22"/>
          <w:szCs w:val="22"/>
        </w:rPr>
        <w:t>A justificativa para a aquisição da pá carregadeira fundamenta-se na necessidade de ampliar a capacidade operacional do Município, considerando a demanda crescente por serviços de movimentação de materiais, carregamento e descarregamento de insumos, abertura e limpeza de canais de drenagem, manutenção de estradas vicinais, conformação de aterros e desaterros, além do apoio a práticas de conse</w:t>
      </w:r>
      <w:r w:rsidRPr="00AB73C4">
        <w:rPr>
          <w:sz w:val="22"/>
          <w:szCs w:val="22"/>
        </w:rPr>
        <w:t>r</w:t>
      </w:r>
      <w:r w:rsidRPr="00AB73C4">
        <w:rPr>
          <w:sz w:val="22"/>
          <w:szCs w:val="22"/>
        </w:rPr>
        <w:t>vação de solo e água. Atualmente, a estrutura da Secretaria de Agricultura mostra-se insuficiente para atender de forma tempestiva e eficaz às necessidades da agricultura familiar, responsável por mais de 80% da produção rural municipal, bem como às pequenas propriedades que constituem a base da econ</w:t>
      </w:r>
      <w:r w:rsidRPr="00AB73C4">
        <w:rPr>
          <w:sz w:val="22"/>
          <w:szCs w:val="22"/>
        </w:rPr>
        <w:t>o</w:t>
      </w:r>
      <w:r w:rsidRPr="00AB73C4">
        <w:rPr>
          <w:sz w:val="22"/>
          <w:szCs w:val="22"/>
        </w:rPr>
        <w:t>mia agropecuária local.</w:t>
      </w:r>
    </w:p>
    <w:p w:rsidR="00AB73C4" w:rsidRPr="00AB73C4" w:rsidRDefault="00AB73C4" w:rsidP="00AB73C4">
      <w:pPr>
        <w:ind w:right="-2"/>
        <w:jc w:val="both"/>
        <w:rPr>
          <w:sz w:val="22"/>
          <w:szCs w:val="22"/>
        </w:rPr>
      </w:pPr>
    </w:p>
    <w:p w:rsidR="00AB73C4" w:rsidRPr="00AB73C4" w:rsidRDefault="00AB73C4" w:rsidP="00AB73C4">
      <w:pPr>
        <w:ind w:right="-2"/>
        <w:jc w:val="both"/>
        <w:rPr>
          <w:sz w:val="22"/>
          <w:szCs w:val="22"/>
        </w:rPr>
      </w:pPr>
      <w:r>
        <w:rPr>
          <w:sz w:val="22"/>
          <w:szCs w:val="22"/>
        </w:rPr>
        <w:tab/>
      </w:r>
      <w:r w:rsidRPr="00AB73C4">
        <w:rPr>
          <w:sz w:val="22"/>
          <w:szCs w:val="22"/>
        </w:rPr>
        <w:t>A opção pela aquisição de equipamento novo e zero hora decorre da própria exigência do conv</w:t>
      </w:r>
      <w:r w:rsidRPr="00AB73C4">
        <w:rPr>
          <w:sz w:val="22"/>
          <w:szCs w:val="22"/>
        </w:rPr>
        <w:t>ê</w:t>
      </w:r>
      <w:r w:rsidRPr="00AB73C4">
        <w:rPr>
          <w:sz w:val="22"/>
          <w:szCs w:val="22"/>
        </w:rPr>
        <w:t>nio, que veda a compra de maquinário usado ou locado, assegurando ao Município um bem patrimonial incorporado ao ativo permanente, com garantia de fábrica, menor risco de falhas e maior vida útil estim</w:t>
      </w:r>
      <w:r w:rsidRPr="00AB73C4">
        <w:rPr>
          <w:sz w:val="22"/>
          <w:szCs w:val="22"/>
        </w:rPr>
        <w:t>a</w:t>
      </w:r>
      <w:r w:rsidRPr="00AB73C4">
        <w:rPr>
          <w:sz w:val="22"/>
          <w:szCs w:val="22"/>
        </w:rPr>
        <w:t>da. Além disso, trata-se da solução mais vantajosa sob o ponto de vista econômico e operacional, pois elimina gastos recorrentes com locações terceirizadas, reduz custos de manutenção corretiva e garante maior autonomia na execução dos serviços públicos.</w:t>
      </w:r>
    </w:p>
    <w:p w:rsidR="00AB73C4" w:rsidRPr="00AB73C4" w:rsidRDefault="00AB73C4" w:rsidP="00AB73C4">
      <w:pPr>
        <w:ind w:right="-2"/>
        <w:jc w:val="both"/>
        <w:rPr>
          <w:sz w:val="22"/>
          <w:szCs w:val="22"/>
        </w:rPr>
      </w:pPr>
    </w:p>
    <w:p w:rsidR="00D677D8" w:rsidRDefault="00AB73C4" w:rsidP="00AB73C4">
      <w:pPr>
        <w:ind w:right="-2"/>
        <w:jc w:val="both"/>
        <w:rPr>
          <w:sz w:val="22"/>
          <w:szCs w:val="22"/>
        </w:rPr>
      </w:pPr>
      <w:r>
        <w:rPr>
          <w:sz w:val="22"/>
          <w:szCs w:val="22"/>
        </w:rPr>
        <w:tab/>
      </w:r>
      <w:r w:rsidRPr="00AB73C4">
        <w:rPr>
          <w:sz w:val="22"/>
          <w:szCs w:val="22"/>
        </w:rPr>
        <w:t>Do ponto de vista do interesse público, a contratação é justificada pelo impacto positivo direto na agricultura familiar, na sustentabilidade das comunidades rurais e na inclusão produtiva, contribuindo para o combate à pobreza rural, para a permanência do agricultor no campo e para o fortalecimento das cadeias produtivas locais. Também se alinha às diretrizes legais e ao Plano de Trabalho aprovado no Convênio nº 160/2025, configurando-se como medida essencial à boa aplicação dos recursos públicos, em conformidade com os princípios da eficiência, da economicidade e da supremacia do interesse público.</w:t>
      </w:r>
    </w:p>
    <w:p w:rsidR="00D677D8" w:rsidRDefault="00D677D8">
      <w:pPr>
        <w:ind w:right="-2"/>
        <w:jc w:val="both"/>
        <w:rPr>
          <w:sz w:val="22"/>
          <w:szCs w:val="22"/>
        </w:rPr>
      </w:pPr>
    </w:p>
    <w:p w:rsidR="00D677D8" w:rsidRDefault="007637DF">
      <w:pPr>
        <w:ind w:right="-2"/>
        <w:jc w:val="both"/>
        <w:rPr>
          <w:sz w:val="22"/>
          <w:szCs w:val="22"/>
        </w:rPr>
      </w:pPr>
      <w:r>
        <w:rPr>
          <w:sz w:val="22"/>
          <w:szCs w:val="22"/>
        </w:rPr>
        <w:tab/>
      </w:r>
      <w:r w:rsidRPr="007637DF">
        <w:rPr>
          <w:sz w:val="22"/>
          <w:szCs w:val="22"/>
        </w:rPr>
        <w:t>Considerando o disposto na Lei nº 14.133/2021 e no Decreto Municipal nº 3.537/2023, a aquis</w:t>
      </w:r>
      <w:r w:rsidRPr="007637DF">
        <w:rPr>
          <w:sz w:val="22"/>
          <w:szCs w:val="22"/>
        </w:rPr>
        <w:t>i</w:t>
      </w:r>
      <w:r w:rsidRPr="007637DF">
        <w:rPr>
          <w:sz w:val="22"/>
          <w:szCs w:val="22"/>
        </w:rPr>
        <w:t>ção da pá carregadeira poderá ser realizada por diferentes formas de contratação admitidas no ordename</w:t>
      </w:r>
      <w:r w:rsidRPr="007637DF">
        <w:rPr>
          <w:sz w:val="22"/>
          <w:szCs w:val="22"/>
        </w:rPr>
        <w:t>n</w:t>
      </w:r>
      <w:r w:rsidRPr="007637DF">
        <w:rPr>
          <w:sz w:val="22"/>
          <w:szCs w:val="22"/>
        </w:rPr>
        <w:t>to jurídico, cabendo à Administração avaliar aquela que melhor atenda aos princípios da legalidade, ec</w:t>
      </w:r>
      <w:r w:rsidRPr="007637DF">
        <w:rPr>
          <w:sz w:val="22"/>
          <w:szCs w:val="22"/>
        </w:rPr>
        <w:t>o</w:t>
      </w:r>
      <w:r w:rsidRPr="007637DF">
        <w:rPr>
          <w:sz w:val="22"/>
          <w:szCs w:val="22"/>
        </w:rPr>
        <w:t>nomicidade, eficiência e vantajosidade. Nesse contexto, este Estudo Técnico Preliminar passa a examinar as alternativas disponíveis, destacando suas principais vantagens, desvantagens e a adequação ao Conv</w:t>
      </w:r>
      <w:r w:rsidRPr="007637DF">
        <w:rPr>
          <w:sz w:val="22"/>
          <w:szCs w:val="22"/>
        </w:rPr>
        <w:t>ê</w:t>
      </w:r>
      <w:r w:rsidRPr="007637DF">
        <w:rPr>
          <w:sz w:val="22"/>
          <w:szCs w:val="22"/>
        </w:rPr>
        <w:t>nio nº 160/2025 – SEAB, de modo a subsidiar a escolha da solução mais compatível co</w:t>
      </w:r>
      <w:r w:rsidR="001A7544">
        <w:rPr>
          <w:sz w:val="22"/>
          <w:szCs w:val="22"/>
        </w:rPr>
        <w:t>m o interesse p</w:t>
      </w:r>
      <w:r w:rsidR="001A7544">
        <w:rPr>
          <w:sz w:val="22"/>
          <w:szCs w:val="22"/>
        </w:rPr>
        <w:t>ú</w:t>
      </w:r>
      <w:r w:rsidR="001A7544">
        <w:rPr>
          <w:sz w:val="22"/>
          <w:szCs w:val="22"/>
        </w:rPr>
        <w:t>blico municipal, vejamos:</w:t>
      </w:r>
    </w:p>
    <w:p w:rsidR="001A7544" w:rsidRDefault="001A7544">
      <w:pPr>
        <w:ind w:right="-2"/>
        <w:jc w:val="both"/>
        <w:rPr>
          <w:sz w:val="22"/>
          <w:szCs w:val="22"/>
        </w:rPr>
      </w:pPr>
    </w:p>
    <w:tbl>
      <w:tblPr>
        <w:tblW w:w="0" w:type="auto"/>
        <w:tblInd w:w="-5" w:type="dxa"/>
        <w:tblCellMar>
          <w:left w:w="70" w:type="dxa"/>
          <w:right w:w="70" w:type="dxa"/>
        </w:tblCellMar>
        <w:tblLook w:val="04A0"/>
      </w:tblPr>
      <w:tblGrid>
        <w:gridCol w:w="2386"/>
        <w:gridCol w:w="1922"/>
        <w:gridCol w:w="2546"/>
        <w:gridCol w:w="2645"/>
      </w:tblGrid>
      <w:tr w:rsidR="00D3219C" w:rsidTr="00D3219C">
        <w:trPr>
          <w:trHeight w:val="288"/>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D3219C" w:rsidRDefault="00D3219C">
            <w:pPr>
              <w:jc w:val="center"/>
              <w:rPr>
                <w:rFonts w:ascii="Calibri" w:hAnsi="Calibri" w:cs="Calibri"/>
                <w:b/>
                <w:bCs/>
                <w:color w:val="366092"/>
                <w:sz w:val="22"/>
                <w:szCs w:val="22"/>
              </w:rPr>
            </w:pPr>
            <w:r>
              <w:rPr>
                <w:rFonts w:ascii="Calibri" w:hAnsi="Calibri" w:cs="Calibri"/>
                <w:b/>
                <w:bCs/>
                <w:color w:val="366092"/>
                <w:sz w:val="22"/>
                <w:szCs w:val="22"/>
              </w:rPr>
              <w:t>Alternativa</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D3219C" w:rsidRDefault="00D3219C">
            <w:pPr>
              <w:jc w:val="center"/>
              <w:rPr>
                <w:rFonts w:ascii="Calibri" w:hAnsi="Calibri" w:cs="Calibri"/>
                <w:b/>
                <w:bCs/>
                <w:color w:val="366092"/>
                <w:sz w:val="22"/>
                <w:szCs w:val="22"/>
              </w:rPr>
            </w:pPr>
            <w:r>
              <w:rPr>
                <w:rFonts w:ascii="Calibri" w:hAnsi="Calibri" w:cs="Calibri"/>
                <w:b/>
                <w:bCs/>
                <w:color w:val="366092"/>
                <w:sz w:val="22"/>
                <w:szCs w:val="22"/>
              </w:rPr>
              <w:t>Fundamentação Legal</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3219C" w:rsidRDefault="00D3219C">
            <w:pPr>
              <w:jc w:val="center"/>
              <w:rPr>
                <w:rFonts w:ascii="Calibri" w:hAnsi="Calibri" w:cs="Calibri"/>
                <w:b/>
                <w:bCs/>
                <w:color w:val="366092"/>
                <w:sz w:val="22"/>
                <w:szCs w:val="22"/>
              </w:rPr>
            </w:pPr>
            <w:r>
              <w:rPr>
                <w:rFonts w:ascii="Calibri" w:hAnsi="Calibri" w:cs="Calibri"/>
                <w:b/>
                <w:bCs/>
                <w:color w:val="366092"/>
                <w:sz w:val="22"/>
                <w:szCs w:val="22"/>
              </w:rPr>
              <w:t>Vantagens</w:t>
            </w:r>
          </w:p>
        </w:tc>
        <w:tc>
          <w:tcPr>
            <w:tcW w:w="2828" w:type="dxa"/>
            <w:tcBorders>
              <w:top w:val="single" w:sz="4" w:space="0" w:color="auto"/>
              <w:left w:val="single" w:sz="4" w:space="0" w:color="auto"/>
              <w:bottom w:val="single" w:sz="4" w:space="0" w:color="auto"/>
              <w:right w:val="single" w:sz="4" w:space="0" w:color="auto"/>
            </w:tcBorders>
            <w:shd w:val="clear" w:color="auto" w:fill="auto"/>
            <w:hideMark/>
          </w:tcPr>
          <w:p w:rsidR="00D3219C" w:rsidRDefault="00D3219C">
            <w:pPr>
              <w:jc w:val="center"/>
              <w:rPr>
                <w:rFonts w:ascii="Calibri" w:hAnsi="Calibri" w:cs="Calibri"/>
                <w:b/>
                <w:bCs/>
                <w:color w:val="366092"/>
                <w:sz w:val="22"/>
                <w:szCs w:val="22"/>
              </w:rPr>
            </w:pPr>
            <w:r>
              <w:rPr>
                <w:rFonts w:ascii="Calibri" w:hAnsi="Calibri" w:cs="Calibri"/>
                <w:b/>
                <w:bCs/>
                <w:color w:val="366092"/>
                <w:sz w:val="22"/>
                <w:szCs w:val="22"/>
              </w:rPr>
              <w:t>Desvantagens</w:t>
            </w:r>
          </w:p>
        </w:tc>
      </w:tr>
      <w:tr w:rsidR="00D3219C" w:rsidTr="00D3219C">
        <w:trPr>
          <w:trHeight w:val="1440"/>
        </w:trPr>
        <w:tc>
          <w:tcPr>
            <w:tcW w:w="1843" w:type="dxa"/>
            <w:tcBorders>
              <w:top w:val="nil"/>
              <w:left w:val="nil"/>
              <w:bottom w:val="nil"/>
              <w:right w:val="nil"/>
            </w:tcBorders>
            <w:shd w:val="clear" w:color="DCE6F1" w:fill="DCE6F1"/>
            <w:vAlign w:val="bottom"/>
            <w:hideMark/>
          </w:tcPr>
          <w:p w:rsidR="00D3219C" w:rsidRDefault="00D3219C">
            <w:pPr>
              <w:rPr>
                <w:rFonts w:ascii="Calibri" w:hAnsi="Calibri" w:cs="Calibri"/>
                <w:color w:val="366092"/>
                <w:sz w:val="22"/>
                <w:szCs w:val="22"/>
              </w:rPr>
            </w:pPr>
            <w:r>
              <w:rPr>
                <w:rFonts w:ascii="Calibri" w:hAnsi="Calibri" w:cs="Calibri"/>
                <w:color w:val="366092"/>
                <w:sz w:val="22"/>
                <w:szCs w:val="22"/>
              </w:rPr>
              <w:t>Licitação Direta (Pregão Eletrônico/Concorrência)</w:t>
            </w:r>
          </w:p>
        </w:tc>
        <w:tc>
          <w:tcPr>
            <w:tcW w:w="1985" w:type="dxa"/>
            <w:tcBorders>
              <w:top w:val="nil"/>
              <w:left w:val="nil"/>
              <w:bottom w:val="nil"/>
              <w:right w:val="nil"/>
            </w:tcBorders>
            <w:shd w:val="clear" w:color="DCE6F1" w:fill="DCE6F1"/>
            <w:vAlign w:val="bottom"/>
            <w:hideMark/>
          </w:tcPr>
          <w:p w:rsidR="00D3219C" w:rsidRDefault="00D3219C">
            <w:pPr>
              <w:rPr>
                <w:rFonts w:ascii="Calibri" w:hAnsi="Calibri" w:cs="Calibri"/>
                <w:color w:val="366092"/>
                <w:sz w:val="22"/>
                <w:szCs w:val="22"/>
              </w:rPr>
            </w:pPr>
            <w:r>
              <w:rPr>
                <w:rFonts w:ascii="Calibri" w:hAnsi="Calibri" w:cs="Calibri"/>
                <w:color w:val="366092"/>
                <w:sz w:val="22"/>
                <w:szCs w:val="22"/>
              </w:rPr>
              <w:t>Arts. 17 a 27 da Lei 14.133/2021</w:t>
            </w:r>
          </w:p>
        </w:tc>
        <w:tc>
          <w:tcPr>
            <w:tcW w:w="2693" w:type="dxa"/>
            <w:tcBorders>
              <w:top w:val="nil"/>
              <w:left w:val="nil"/>
              <w:bottom w:val="nil"/>
              <w:right w:val="nil"/>
            </w:tcBorders>
            <w:shd w:val="clear" w:color="DCE6F1" w:fill="DCE6F1"/>
            <w:vAlign w:val="bottom"/>
            <w:hideMark/>
          </w:tcPr>
          <w:p w:rsidR="00D3219C" w:rsidRDefault="00D3219C">
            <w:pPr>
              <w:rPr>
                <w:rFonts w:ascii="Calibri" w:hAnsi="Calibri" w:cs="Calibri"/>
                <w:color w:val="366092"/>
                <w:sz w:val="22"/>
                <w:szCs w:val="22"/>
              </w:rPr>
            </w:pPr>
            <w:r>
              <w:rPr>
                <w:rFonts w:ascii="Calibri" w:hAnsi="Calibri" w:cs="Calibri"/>
                <w:color w:val="366092"/>
                <w:sz w:val="22"/>
                <w:szCs w:val="22"/>
              </w:rPr>
              <w:t>Autonomia técnica; Co</w:t>
            </w:r>
            <w:r>
              <w:rPr>
                <w:rFonts w:ascii="Calibri" w:hAnsi="Calibri" w:cs="Calibri"/>
                <w:color w:val="366092"/>
                <w:sz w:val="22"/>
                <w:szCs w:val="22"/>
              </w:rPr>
              <w:t>m</w:t>
            </w:r>
            <w:r>
              <w:rPr>
                <w:rFonts w:ascii="Calibri" w:hAnsi="Calibri" w:cs="Calibri"/>
                <w:color w:val="366092"/>
                <w:sz w:val="22"/>
                <w:szCs w:val="22"/>
              </w:rPr>
              <w:t>petitividade ampliada; Controle processual; Transparência</w:t>
            </w:r>
          </w:p>
        </w:tc>
        <w:tc>
          <w:tcPr>
            <w:tcW w:w="2828" w:type="dxa"/>
            <w:tcBorders>
              <w:top w:val="nil"/>
              <w:left w:val="nil"/>
              <w:bottom w:val="nil"/>
              <w:right w:val="nil"/>
            </w:tcBorders>
            <w:shd w:val="clear" w:color="DCE6F1" w:fill="DCE6F1"/>
            <w:vAlign w:val="bottom"/>
            <w:hideMark/>
          </w:tcPr>
          <w:p w:rsidR="00D3219C" w:rsidRDefault="00D3219C">
            <w:pPr>
              <w:rPr>
                <w:rFonts w:ascii="Calibri" w:hAnsi="Calibri" w:cs="Calibri"/>
                <w:color w:val="366092"/>
                <w:sz w:val="22"/>
                <w:szCs w:val="22"/>
              </w:rPr>
            </w:pPr>
            <w:r>
              <w:rPr>
                <w:rFonts w:ascii="Calibri" w:hAnsi="Calibri" w:cs="Calibri"/>
                <w:color w:val="366092"/>
                <w:sz w:val="22"/>
                <w:szCs w:val="22"/>
              </w:rPr>
              <w:t>Prazo longo (90-120 dias); Exige equipe multidiscipl</w:t>
            </w:r>
            <w:r>
              <w:rPr>
                <w:rFonts w:ascii="Calibri" w:hAnsi="Calibri" w:cs="Calibri"/>
                <w:color w:val="366092"/>
                <w:sz w:val="22"/>
                <w:szCs w:val="22"/>
              </w:rPr>
              <w:t>i</w:t>
            </w:r>
            <w:r>
              <w:rPr>
                <w:rFonts w:ascii="Calibri" w:hAnsi="Calibri" w:cs="Calibri"/>
                <w:color w:val="366092"/>
                <w:sz w:val="22"/>
                <w:szCs w:val="22"/>
              </w:rPr>
              <w:t>nar; Risco de atraso no convênio; Possibilidade de frustração do certame</w:t>
            </w:r>
          </w:p>
        </w:tc>
      </w:tr>
      <w:tr w:rsidR="00D3219C" w:rsidTr="00D3219C">
        <w:trPr>
          <w:trHeight w:val="2016"/>
        </w:trPr>
        <w:tc>
          <w:tcPr>
            <w:tcW w:w="1843" w:type="dxa"/>
            <w:tcBorders>
              <w:top w:val="nil"/>
              <w:left w:val="nil"/>
              <w:bottom w:val="nil"/>
              <w:right w:val="nil"/>
            </w:tcBorders>
            <w:shd w:val="clear" w:color="auto" w:fill="auto"/>
            <w:vAlign w:val="bottom"/>
            <w:hideMark/>
          </w:tcPr>
          <w:p w:rsidR="00D3219C" w:rsidRDefault="00D3219C">
            <w:pPr>
              <w:rPr>
                <w:rFonts w:ascii="Calibri" w:hAnsi="Calibri" w:cs="Calibri"/>
                <w:color w:val="366092"/>
                <w:sz w:val="22"/>
                <w:szCs w:val="22"/>
              </w:rPr>
            </w:pPr>
            <w:r>
              <w:rPr>
                <w:rFonts w:ascii="Calibri" w:hAnsi="Calibri" w:cs="Calibri"/>
                <w:color w:val="366092"/>
                <w:sz w:val="22"/>
                <w:szCs w:val="22"/>
              </w:rPr>
              <w:t>Adesão à Ata de Registro de Preços (Carona)</w:t>
            </w:r>
          </w:p>
        </w:tc>
        <w:tc>
          <w:tcPr>
            <w:tcW w:w="1985" w:type="dxa"/>
            <w:tcBorders>
              <w:top w:val="nil"/>
              <w:left w:val="nil"/>
              <w:bottom w:val="nil"/>
              <w:right w:val="nil"/>
            </w:tcBorders>
            <w:shd w:val="clear" w:color="auto" w:fill="auto"/>
            <w:vAlign w:val="bottom"/>
            <w:hideMark/>
          </w:tcPr>
          <w:p w:rsidR="00D3219C" w:rsidRDefault="00D3219C">
            <w:pPr>
              <w:rPr>
                <w:rFonts w:ascii="Calibri" w:hAnsi="Calibri" w:cs="Calibri"/>
                <w:color w:val="366092"/>
                <w:sz w:val="22"/>
                <w:szCs w:val="22"/>
              </w:rPr>
            </w:pPr>
            <w:r>
              <w:rPr>
                <w:rFonts w:ascii="Calibri" w:hAnsi="Calibri" w:cs="Calibri"/>
                <w:color w:val="366092"/>
                <w:sz w:val="22"/>
                <w:szCs w:val="22"/>
              </w:rPr>
              <w:t>Art. 86 da Lei 14.133/2021</w:t>
            </w:r>
          </w:p>
        </w:tc>
        <w:tc>
          <w:tcPr>
            <w:tcW w:w="2693" w:type="dxa"/>
            <w:tcBorders>
              <w:top w:val="nil"/>
              <w:left w:val="nil"/>
              <w:bottom w:val="nil"/>
              <w:right w:val="nil"/>
            </w:tcBorders>
            <w:shd w:val="clear" w:color="auto" w:fill="auto"/>
            <w:vAlign w:val="bottom"/>
            <w:hideMark/>
          </w:tcPr>
          <w:p w:rsidR="00D3219C" w:rsidRDefault="00D3219C">
            <w:pPr>
              <w:rPr>
                <w:rFonts w:ascii="Calibri" w:hAnsi="Calibri" w:cs="Calibri"/>
                <w:color w:val="366092"/>
                <w:sz w:val="22"/>
                <w:szCs w:val="22"/>
              </w:rPr>
            </w:pPr>
            <w:r>
              <w:rPr>
                <w:rFonts w:ascii="Calibri" w:hAnsi="Calibri" w:cs="Calibri"/>
                <w:color w:val="366092"/>
                <w:sz w:val="22"/>
                <w:szCs w:val="22"/>
              </w:rPr>
              <w:t>Celeridade processual; Segurança jurídica; Vant</w:t>
            </w:r>
            <w:r>
              <w:rPr>
                <w:rFonts w:ascii="Calibri" w:hAnsi="Calibri" w:cs="Calibri"/>
                <w:color w:val="366092"/>
                <w:sz w:val="22"/>
                <w:szCs w:val="22"/>
              </w:rPr>
              <w:t>a</w:t>
            </w:r>
            <w:r>
              <w:rPr>
                <w:rFonts w:ascii="Calibri" w:hAnsi="Calibri" w:cs="Calibri"/>
                <w:color w:val="366092"/>
                <w:sz w:val="22"/>
                <w:szCs w:val="22"/>
              </w:rPr>
              <w:t>gem econômica compr</w:t>
            </w:r>
            <w:r>
              <w:rPr>
                <w:rFonts w:ascii="Calibri" w:hAnsi="Calibri" w:cs="Calibri"/>
                <w:color w:val="366092"/>
                <w:sz w:val="22"/>
                <w:szCs w:val="22"/>
              </w:rPr>
              <w:t>o</w:t>
            </w:r>
            <w:r>
              <w:rPr>
                <w:rFonts w:ascii="Calibri" w:hAnsi="Calibri" w:cs="Calibri"/>
                <w:color w:val="366092"/>
                <w:sz w:val="22"/>
                <w:szCs w:val="22"/>
              </w:rPr>
              <w:t>vada; Especificações técn</w:t>
            </w:r>
            <w:r>
              <w:rPr>
                <w:rFonts w:ascii="Calibri" w:hAnsi="Calibri" w:cs="Calibri"/>
                <w:color w:val="366092"/>
                <w:sz w:val="22"/>
                <w:szCs w:val="22"/>
              </w:rPr>
              <w:t>i</w:t>
            </w:r>
            <w:r>
              <w:rPr>
                <w:rFonts w:ascii="Calibri" w:hAnsi="Calibri" w:cs="Calibri"/>
                <w:color w:val="366092"/>
                <w:sz w:val="22"/>
                <w:szCs w:val="22"/>
              </w:rPr>
              <w:t>cas adequadas; Garantias contratuais; Conformidade com cronograma</w:t>
            </w:r>
          </w:p>
        </w:tc>
        <w:tc>
          <w:tcPr>
            <w:tcW w:w="2828" w:type="dxa"/>
            <w:tcBorders>
              <w:top w:val="nil"/>
              <w:left w:val="nil"/>
              <w:bottom w:val="nil"/>
              <w:right w:val="nil"/>
            </w:tcBorders>
            <w:shd w:val="clear" w:color="auto" w:fill="auto"/>
            <w:vAlign w:val="bottom"/>
            <w:hideMark/>
          </w:tcPr>
          <w:p w:rsidR="00D3219C" w:rsidRDefault="00D3219C">
            <w:pPr>
              <w:rPr>
                <w:rFonts w:ascii="Calibri" w:hAnsi="Calibri" w:cs="Calibri"/>
                <w:color w:val="366092"/>
                <w:sz w:val="22"/>
                <w:szCs w:val="22"/>
              </w:rPr>
            </w:pPr>
            <w:r>
              <w:rPr>
                <w:rFonts w:ascii="Calibri" w:hAnsi="Calibri" w:cs="Calibri"/>
                <w:color w:val="366092"/>
                <w:sz w:val="22"/>
                <w:szCs w:val="22"/>
              </w:rPr>
              <w:t>Rigidez contratual; Depe</w:t>
            </w:r>
            <w:r>
              <w:rPr>
                <w:rFonts w:ascii="Calibri" w:hAnsi="Calibri" w:cs="Calibri"/>
                <w:color w:val="366092"/>
                <w:sz w:val="22"/>
                <w:szCs w:val="22"/>
              </w:rPr>
              <w:t>n</w:t>
            </w:r>
            <w:r>
              <w:rPr>
                <w:rFonts w:ascii="Calibri" w:hAnsi="Calibri" w:cs="Calibri"/>
                <w:color w:val="366092"/>
                <w:sz w:val="22"/>
                <w:szCs w:val="22"/>
              </w:rPr>
              <w:t>dência de terceiros; Limit</w:t>
            </w:r>
            <w:r>
              <w:rPr>
                <w:rFonts w:ascii="Calibri" w:hAnsi="Calibri" w:cs="Calibri"/>
                <w:color w:val="366092"/>
                <w:sz w:val="22"/>
                <w:szCs w:val="22"/>
              </w:rPr>
              <w:t>a</w:t>
            </w:r>
            <w:r>
              <w:rPr>
                <w:rFonts w:ascii="Calibri" w:hAnsi="Calibri" w:cs="Calibri"/>
                <w:color w:val="366092"/>
                <w:sz w:val="22"/>
                <w:szCs w:val="22"/>
              </w:rPr>
              <w:t>ção de autonomia</w:t>
            </w:r>
          </w:p>
        </w:tc>
      </w:tr>
      <w:tr w:rsidR="00D3219C" w:rsidTr="00D3219C">
        <w:trPr>
          <w:trHeight w:val="1152"/>
        </w:trPr>
        <w:tc>
          <w:tcPr>
            <w:tcW w:w="1843" w:type="dxa"/>
            <w:tcBorders>
              <w:top w:val="nil"/>
              <w:left w:val="nil"/>
              <w:bottom w:val="nil"/>
              <w:right w:val="nil"/>
            </w:tcBorders>
            <w:shd w:val="clear" w:color="DCE6F1" w:fill="DCE6F1"/>
            <w:vAlign w:val="bottom"/>
            <w:hideMark/>
          </w:tcPr>
          <w:p w:rsidR="00D3219C" w:rsidRDefault="00D3219C">
            <w:pPr>
              <w:rPr>
                <w:rFonts w:ascii="Calibri" w:hAnsi="Calibri" w:cs="Calibri"/>
                <w:color w:val="366092"/>
                <w:sz w:val="22"/>
                <w:szCs w:val="22"/>
              </w:rPr>
            </w:pPr>
            <w:r>
              <w:rPr>
                <w:rFonts w:ascii="Calibri" w:hAnsi="Calibri" w:cs="Calibri"/>
                <w:color w:val="366092"/>
                <w:sz w:val="22"/>
                <w:szCs w:val="22"/>
              </w:rPr>
              <w:t>Contratação via Consó</w:t>
            </w:r>
            <w:r>
              <w:rPr>
                <w:rFonts w:ascii="Calibri" w:hAnsi="Calibri" w:cs="Calibri"/>
                <w:color w:val="366092"/>
                <w:sz w:val="22"/>
                <w:szCs w:val="22"/>
              </w:rPr>
              <w:t>r</w:t>
            </w:r>
            <w:r>
              <w:rPr>
                <w:rFonts w:ascii="Calibri" w:hAnsi="Calibri" w:cs="Calibri"/>
                <w:color w:val="366092"/>
                <w:sz w:val="22"/>
                <w:szCs w:val="22"/>
              </w:rPr>
              <w:t>cio Público</w:t>
            </w:r>
          </w:p>
        </w:tc>
        <w:tc>
          <w:tcPr>
            <w:tcW w:w="1985" w:type="dxa"/>
            <w:tcBorders>
              <w:top w:val="nil"/>
              <w:left w:val="nil"/>
              <w:bottom w:val="nil"/>
              <w:right w:val="nil"/>
            </w:tcBorders>
            <w:shd w:val="clear" w:color="DCE6F1" w:fill="DCE6F1"/>
            <w:vAlign w:val="bottom"/>
            <w:hideMark/>
          </w:tcPr>
          <w:p w:rsidR="00D3219C" w:rsidRDefault="00D3219C">
            <w:pPr>
              <w:rPr>
                <w:rFonts w:ascii="Calibri" w:hAnsi="Calibri" w:cs="Calibri"/>
                <w:color w:val="366092"/>
                <w:sz w:val="22"/>
                <w:szCs w:val="22"/>
              </w:rPr>
            </w:pPr>
            <w:r>
              <w:rPr>
                <w:rFonts w:ascii="Calibri" w:hAnsi="Calibri" w:cs="Calibri"/>
                <w:color w:val="366092"/>
                <w:sz w:val="22"/>
                <w:szCs w:val="22"/>
              </w:rPr>
              <w:t>Lei 11.107/2005 e Lei 14.133/2021</w:t>
            </w:r>
          </w:p>
        </w:tc>
        <w:tc>
          <w:tcPr>
            <w:tcW w:w="2693" w:type="dxa"/>
            <w:tcBorders>
              <w:top w:val="nil"/>
              <w:left w:val="nil"/>
              <w:bottom w:val="nil"/>
              <w:right w:val="nil"/>
            </w:tcBorders>
            <w:shd w:val="clear" w:color="DCE6F1" w:fill="DCE6F1"/>
            <w:vAlign w:val="bottom"/>
            <w:hideMark/>
          </w:tcPr>
          <w:p w:rsidR="00D3219C" w:rsidRDefault="00D3219C">
            <w:pPr>
              <w:rPr>
                <w:rFonts w:ascii="Calibri" w:hAnsi="Calibri" w:cs="Calibri"/>
                <w:color w:val="366092"/>
                <w:sz w:val="22"/>
                <w:szCs w:val="22"/>
              </w:rPr>
            </w:pPr>
            <w:r>
              <w:rPr>
                <w:rFonts w:ascii="Calibri" w:hAnsi="Calibri" w:cs="Calibri"/>
                <w:color w:val="366092"/>
                <w:sz w:val="22"/>
                <w:szCs w:val="22"/>
              </w:rPr>
              <w:t>Economia de escala; Co</w:t>
            </w:r>
            <w:r>
              <w:rPr>
                <w:rFonts w:ascii="Calibri" w:hAnsi="Calibri" w:cs="Calibri"/>
                <w:color w:val="366092"/>
                <w:sz w:val="22"/>
                <w:szCs w:val="22"/>
              </w:rPr>
              <w:t>m</w:t>
            </w:r>
            <w:r>
              <w:rPr>
                <w:rFonts w:ascii="Calibri" w:hAnsi="Calibri" w:cs="Calibri"/>
                <w:color w:val="366092"/>
                <w:sz w:val="22"/>
                <w:szCs w:val="22"/>
              </w:rPr>
              <w:t>partilhamento de expert</w:t>
            </w:r>
            <w:r>
              <w:rPr>
                <w:rFonts w:ascii="Calibri" w:hAnsi="Calibri" w:cs="Calibri"/>
                <w:color w:val="366092"/>
                <w:sz w:val="22"/>
                <w:szCs w:val="22"/>
              </w:rPr>
              <w:t>i</w:t>
            </w:r>
            <w:r>
              <w:rPr>
                <w:rFonts w:ascii="Calibri" w:hAnsi="Calibri" w:cs="Calibri"/>
                <w:color w:val="366092"/>
                <w:sz w:val="22"/>
                <w:szCs w:val="22"/>
              </w:rPr>
              <w:t>se; Padronização regional</w:t>
            </w:r>
          </w:p>
        </w:tc>
        <w:tc>
          <w:tcPr>
            <w:tcW w:w="2828" w:type="dxa"/>
            <w:tcBorders>
              <w:top w:val="nil"/>
              <w:left w:val="nil"/>
              <w:bottom w:val="nil"/>
              <w:right w:val="nil"/>
            </w:tcBorders>
            <w:shd w:val="clear" w:color="DCE6F1" w:fill="DCE6F1"/>
            <w:vAlign w:val="bottom"/>
            <w:hideMark/>
          </w:tcPr>
          <w:p w:rsidR="00D3219C" w:rsidRDefault="00D3219C">
            <w:pPr>
              <w:rPr>
                <w:rFonts w:ascii="Calibri" w:hAnsi="Calibri" w:cs="Calibri"/>
                <w:color w:val="366092"/>
                <w:sz w:val="22"/>
                <w:szCs w:val="22"/>
              </w:rPr>
            </w:pPr>
            <w:r>
              <w:rPr>
                <w:rFonts w:ascii="Calibri" w:hAnsi="Calibri" w:cs="Calibri"/>
                <w:color w:val="366092"/>
                <w:sz w:val="22"/>
                <w:szCs w:val="22"/>
              </w:rPr>
              <w:t>Complexidade procedime</w:t>
            </w:r>
            <w:r>
              <w:rPr>
                <w:rFonts w:ascii="Calibri" w:hAnsi="Calibri" w:cs="Calibri"/>
                <w:color w:val="366092"/>
                <w:sz w:val="22"/>
                <w:szCs w:val="22"/>
              </w:rPr>
              <w:t>n</w:t>
            </w:r>
            <w:r>
              <w:rPr>
                <w:rFonts w:ascii="Calibri" w:hAnsi="Calibri" w:cs="Calibri"/>
                <w:color w:val="366092"/>
                <w:sz w:val="22"/>
                <w:szCs w:val="22"/>
              </w:rPr>
              <w:t>tal; Dependência temporal; Limitação de autonomia; Incerteza de viabilização</w:t>
            </w:r>
          </w:p>
        </w:tc>
      </w:tr>
      <w:tr w:rsidR="00D3219C" w:rsidTr="00D3219C">
        <w:trPr>
          <w:trHeight w:val="1152"/>
        </w:trPr>
        <w:tc>
          <w:tcPr>
            <w:tcW w:w="1843" w:type="dxa"/>
            <w:tcBorders>
              <w:top w:val="nil"/>
              <w:left w:val="nil"/>
              <w:bottom w:val="nil"/>
              <w:right w:val="nil"/>
            </w:tcBorders>
            <w:shd w:val="clear" w:color="auto" w:fill="auto"/>
            <w:vAlign w:val="bottom"/>
            <w:hideMark/>
          </w:tcPr>
          <w:p w:rsidR="00D3219C" w:rsidRDefault="00D3219C">
            <w:pPr>
              <w:rPr>
                <w:rFonts w:ascii="Calibri" w:hAnsi="Calibri" w:cs="Calibri"/>
                <w:color w:val="366092"/>
                <w:sz w:val="22"/>
                <w:szCs w:val="22"/>
              </w:rPr>
            </w:pPr>
            <w:r>
              <w:rPr>
                <w:rFonts w:ascii="Calibri" w:hAnsi="Calibri" w:cs="Calibri"/>
                <w:color w:val="366092"/>
                <w:sz w:val="22"/>
                <w:szCs w:val="22"/>
              </w:rPr>
              <w:t>Fornecimento Central</w:t>
            </w:r>
            <w:r>
              <w:rPr>
                <w:rFonts w:ascii="Calibri" w:hAnsi="Calibri" w:cs="Calibri"/>
                <w:color w:val="366092"/>
                <w:sz w:val="22"/>
                <w:szCs w:val="22"/>
              </w:rPr>
              <w:t>i</w:t>
            </w:r>
            <w:r>
              <w:rPr>
                <w:rFonts w:ascii="Calibri" w:hAnsi="Calibri" w:cs="Calibri"/>
                <w:color w:val="366092"/>
                <w:sz w:val="22"/>
                <w:szCs w:val="22"/>
              </w:rPr>
              <w:t>zado via Convênio Est</w:t>
            </w:r>
            <w:r>
              <w:rPr>
                <w:rFonts w:ascii="Calibri" w:hAnsi="Calibri" w:cs="Calibri"/>
                <w:color w:val="366092"/>
                <w:sz w:val="22"/>
                <w:szCs w:val="22"/>
              </w:rPr>
              <w:t>a</w:t>
            </w:r>
            <w:r>
              <w:rPr>
                <w:rFonts w:ascii="Calibri" w:hAnsi="Calibri" w:cs="Calibri"/>
                <w:color w:val="366092"/>
                <w:sz w:val="22"/>
                <w:szCs w:val="22"/>
              </w:rPr>
              <w:t>dual</w:t>
            </w:r>
          </w:p>
        </w:tc>
        <w:tc>
          <w:tcPr>
            <w:tcW w:w="1985" w:type="dxa"/>
            <w:tcBorders>
              <w:top w:val="nil"/>
              <w:left w:val="nil"/>
              <w:bottom w:val="nil"/>
              <w:right w:val="nil"/>
            </w:tcBorders>
            <w:shd w:val="clear" w:color="auto" w:fill="auto"/>
            <w:vAlign w:val="bottom"/>
            <w:hideMark/>
          </w:tcPr>
          <w:p w:rsidR="00D3219C" w:rsidRDefault="00D3219C">
            <w:pPr>
              <w:rPr>
                <w:rFonts w:ascii="Calibri" w:hAnsi="Calibri" w:cs="Calibri"/>
                <w:color w:val="366092"/>
                <w:sz w:val="22"/>
                <w:szCs w:val="22"/>
              </w:rPr>
            </w:pPr>
            <w:r>
              <w:rPr>
                <w:rFonts w:ascii="Calibri" w:hAnsi="Calibri" w:cs="Calibri"/>
                <w:color w:val="366092"/>
                <w:sz w:val="22"/>
                <w:szCs w:val="22"/>
              </w:rPr>
              <w:t>Normas específicas de transferências voluntárias e reg</w:t>
            </w:r>
            <w:r>
              <w:rPr>
                <w:rFonts w:ascii="Calibri" w:hAnsi="Calibri" w:cs="Calibri"/>
                <w:color w:val="366092"/>
                <w:sz w:val="22"/>
                <w:szCs w:val="22"/>
              </w:rPr>
              <w:t>u</w:t>
            </w:r>
            <w:r>
              <w:rPr>
                <w:rFonts w:ascii="Calibri" w:hAnsi="Calibri" w:cs="Calibri"/>
                <w:color w:val="366092"/>
                <w:sz w:val="22"/>
                <w:szCs w:val="22"/>
              </w:rPr>
              <w:t>lamento do conv</w:t>
            </w:r>
            <w:r>
              <w:rPr>
                <w:rFonts w:ascii="Calibri" w:hAnsi="Calibri" w:cs="Calibri"/>
                <w:color w:val="366092"/>
                <w:sz w:val="22"/>
                <w:szCs w:val="22"/>
              </w:rPr>
              <w:t>ê</w:t>
            </w:r>
            <w:r>
              <w:rPr>
                <w:rFonts w:ascii="Calibri" w:hAnsi="Calibri" w:cs="Calibri"/>
                <w:color w:val="366092"/>
                <w:sz w:val="22"/>
                <w:szCs w:val="22"/>
              </w:rPr>
              <w:t>nio</w:t>
            </w:r>
          </w:p>
        </w:tc>
        <w:tc>
          <w:tcPr>
            <w:tcW w:w="2693" w:type="dxa"/>
            <w:tcBorders>
              <w:top w:val="nil"/>
              <w:left w:val="nil"/>
              <w:bottom w:val="nil"/>
              <w:right w:val="nil"/>
            </w:tcBorders>
            <w:shd w:val="clear" w:color="auto" w:fill="auto"/>
            <w:vAlign w:val="bottom"/>
            <w:hideMark/>
          </w:tcPr>
          <w:p w:rsidR="00D3219C" w:rsidRDefault="00D3219C">
            <w:pPr>
              <w:rPr>
                <w:rFonts w:ascii="Calibri" w:hAnsi="Calibri" w:cs="Calibri"/>
                <w:color w:val="366092"/>
                <w:sz w:val="22"/>
                <w:szCs w:val="22"/>
              </w:rPr>
            </w:pPr>
            <w:r>
              <w:rPr>
                <w:rFonts w:ascii="Calibri" w:hAnsi="Calibri" w:cs="Calibri"/>
                <w:color w:val="366092"/>
                <w:sz w:val="22"/>
                <w:szCs w:val="22"/>
              </w:rPr>
              <w:t>Não aplicável ao caso co</w:t>
            </w:r>
            <w:r>
              <w:rPr>
                <w:rFonts w:ascii="Calibri" w:hAnsi="Calibri" w:cs="Calibri"/>
                <w:color w:val="366092"/>
                <w:sz w:val="22"/>
                <w:szCs w:val="22"/>
              </w:rPr>
              <w:t>n</w:t>
            </w:r>
            <w:r>
              <w:rPr>
                <w:rFonts w:ascii="Calibri" w:hAnsi="Calibri" w:cs="Calibri"/>
                <w:color w:val="366092"/>
                <w:sz w:val="22"/>
                <w:szCs w:val="22"/>
              </w:rPr>
              <w:t>creto</w:t>
            </w:r>
          </w:p>
        </w:tc>
        <w:tc>
          <w:tcPr>
            <w:tcW w:w="2828" w:type="dxa"/>
            <w:tcBorders>
              <w:top w:val="nil"/>
              <w:left w:val="nil"/>
              <w:bottom w:val="nil"/>
              <w:right w:val="nil"/>
            </w:tcBorders>
            <w:shd w:val="clear" w:color="auto" w:fill="auto"/>
            <w:vAlign w:val="bottom"/>
            <w:hideMark/>
          </w:tcPr>
          <w:p w:rsidR="00D3219C" w:rsidRDefault="00D3219C">
            <w:pPr>
              <w:rPr>
                <w:rFonts w:ascii="Calibri" w:hAnsi="Calibri" w:cs="Calibri"/>
                <w:color w:val="366092"/>
                <w:sz w:val="22"/>
                <w:szCs w:val="22"/>
              </w:rPr>
            </w:pPr>
            <w:r>
              <w:rPr>
                <w:rFonts w:ascii="Calibri" w:hAnsi="Calibri" w:cs="Calibri"/>
                <w:color w:val="366092"/>
                <w:sz w:val="22"/>
                <w:szCs w:val="22"/>
              </w:rPr>
              <w:t>Incompatibilidade com o modelo do convênio; A</w:t>
            </w:r>
            <w:r>
              <w:rPr>
                <w:rFonts w:ascii="Calibri" w:hAnsi="Calibri" w:cs="Calibri"/>
                <w:color w:val="366092"/>
                <w:sz w:val="22"/>
                <w:szCs w:val="22"/>
              </w:rPr>
              <w:t>u</w:t>
            </w:r>
            <w:r>
              <w:rPr>
                <w:rFonts w:ascii="Calibri" w:hAnsi="Calibri" w:cs="Calibri"/>
                <w:color w:val="366092"/>
                <w:sz w:val="22"/>
                <w:szCs w:val="22"/>
              </w:rPr>
              <w:t>sência de previsão contr</w:t>
            </w:r>
            <w:r>
              <w:rPr>
                <w:rFonts w:ascii="Calibri" w:hAnsi="Calibri" w:cs="Calibri"/>
                <w:color w:val="366092"/>
                <w:sz w:val="22"/>
                <w:szCs w:val="22"/>
              </w:rPr>
              <w:t>a</w:t>
            </w:r>
            <w:r>
              <w:rPr>
                <w:rFonts w:ascii="Calibri" w:hAnsi="Calibri" w:cs="Calibri"/>
                <w:color w:val="366092"/>
                <w:sz w:val="22"/>
                <w:szCs w:val="22"/>
              </w:rPr>
              <w:t>tual</w:t>
            </w:r>
          </w:p>
        </w:tc>
      </w:tr>
      <w:tr w:rsidR="00D3219C" w:rsidTr="00D3219C">
        <w:trPr>
          <w:trHeight w:val="288"/>
        </w:trPr>
        <w:tc>
          <w:tcPr>
            <w:tcW w:w="1843" w:type="dxa"/>
            <w:tcBorders>
              <w:top w:val="nil"/>
              <w:left w:val="nil"/>
              <w:bottom w:val="nil"/>
              <w:right w:val="nil"/>
            </w:tcBorders>
            <w:shd w:val="clear" w:color="DCE6F1" w:fill="DCE6F1"/>
            <w:vAlign w:val="bottom"/>
            <w:hideMark/>
          </w:tcPr>
          <w:p w:rsidR="00D3219C" w:rsidRDefault="00D3219C">
            <w:pPr>
              <w:rPr>
                <w:rFonts w:ascii="Calibri" w:hAnsi="Calibri" w:cs="Calibri"/>
                <w:color w:val="366092"/>
                <w:sz w:val="22"/>
                <w:szCs w:val="22"/>
              </w:rPr>
            </w:pPr>
          </w:p>
        </w:tc>
        <w:tc>
          <w:tcPr>
            <w:tcW w:w="1985" w:type="dxa"/>
            <w:tcBorders>
              <w:top w:val="nil"/>
              <w:left w:val="nil"/>
              <w:bottom w:val="nil"/>
              <w:right w:val="nil"/>
            </w:tcBorders>
            <w:shd w:val="clear" w:color="DCE6F1" w:fill="DCE6F1"/>
            <w:vAlign w:val="bottom"/>
            <w:hideMark/>
          </w:tcPr>
          <w:p w:rsidR="00D3219C" w:rsidRDefault="00D3219C">
            <w:pPr>
              <w:rPr>
                <w:sz w:val="20"/>
                <w:szCs w:val="20"/>
              </w:rPr>
            </w:pPr>
          </w:p>
        </w:tc>
        <w:tc>
          <w:tcPr>
            <w:tcW w:w="2693" w:type="dxa"/>
            <w:tcBorders>
              <w:top w:val="nil"/>
              <w:left w:val="nil"/>
              <w:bottom w:val="nil"/>
              <w:right w:val="nil"/>
            </w:tcBorders>
            <w:shd w:val="clear" w:color="DCE6F1" w:fill="DCE6F1"/>
            <w:vAlign w:val="bottom"/>
            <w:hideMark/>
          </w:tcPr>
          <w:p w:rsidR="00D3219C" w:rsidRDefault="00D3219C">
            <w:pPr>
              <w:rPr>
                <w:sz w:val="20"/>
                <w:szCs w:val="20"/>
              </w:rPr>
            </w:pPr>
          </w:p>
        </w:tc>
        <w:tc>
          <w:tcPr>
            <w:tcW w:w="2828" w:type="dxa"/>
            <w:tcBorders>
              <w:top w:val="nil"/>
              <w:left w:val="nil"/>
              <w:bottom w:val="nil"/>
              <w:right w:val="nil"/>
            </w:tcBorders>
            <w:shd w:val="clear" w:color="DCE6F1" w:fill="DCE6F1"/>
            <w:vAlign w:val="bottom"/>
            <w:hideMark/>
          </w:tcPr>
          <w:p w:rsidR="00D3219C" w:rsidRDefault="00D3219C">
            <w:pPr>
              <w:rPr>
                <w:sz w:val="20"/>
                <w:szCs w:val="20"/>
              </w:rPr>
            </w:pPr>
          </w:p>
        </w:tc>
      </w:tr>
    </w:tbl>
    <w:p w:rsidR="001A7544" w:rsidRDefault="001A7544">
      <w:pPr>
        <w:ind w:right="-2"/>
        <w:jc w:val="both"/>
        <w:rPr>
          <w:sz w:val="22"/>
          <w:szCs w:val="22"/>
        </w:rPr>
      </w:pPr>
    </w:p>
    <w:p w:rsidR="00D677D8" w:rsidRDefault="00D677D8">
      <w:pPr>
        <w:ind w:right="-2"/>
        <w:jc w:val="both"/>
        <w:rPr>
          <w:sz w:val="22"/>
          <w:szCs w:val="22"/>
        </w:rPr>
      </w:pPr>
    </w:p>
    <w:p w:rsidR="001C3A75" w:rsidRPr="001C3A75" w:rsidRDefault="001C3A75" w:rsidP="001C3A75">
      <w:pPr>
        <w:ind w:right="-2"/>
        <w:jc w:val="both"/>
        <w:rPr>
          <w:sz w:val="22"/>
          <w:szCs w:val="22"/>
        </w:rPr>
      </w:pPr>
      <w:r w:rsidRPr="001C3A75">
        <w:rPr>
          <w:sz w:val="22"/>
          <w:szCs w:val="22"/>
        </w:rPr>
        <w:t>Após a análise das alternativas de contratação, concluiu-se que a licitação própria, a ser conduzida pelo Município de Bandeirantes/PR, configura-se como a solução mais adequada para a aquisição da pá carr</w:t>
      </w:r>
      <w:r w:rsidRPr="001C3A75">
        <w:rPr>
          <w:sz w:val="22"/>
          <w:szCs w:val="22"/>
        </w:rPr>
        <w:t>e</w:t>
      </w:r>
      <w:r w:rsidRPr="001C3A75">
        <w:rPr>
          <w:sz w:val="22"/>
          <w:szCs w:val="22"/>
        </w:rPr>
        <w:t>gadeira nova, zero hora, objeto do Convênio nº 160/2025 – SEAB.</w:t>
      </w:r>
    </w:p>
    <w:p w:rsidR="001C3A75" w:rsidRPr="001C3A75" w:rsidRDefault="001C3A75" w:rsidP="001C3A75">
      <w:pPr>
        <w:ind w:right="-2"/>
        <w:jc w:val="both"/>
        <w:rPr>
          <w:sz w:val="22"/>
          <w:szCs w:val="22"/>
        </w:rPr>
      </w:pPr>
    </w:p>
    <w:p w:rsidR="001C3A75" w:rsidRPr="001C3A75" w:rsidRDefault="001C3A75" w:rsidP="001C3A75">
      <w:pPr>
        <w:ind w:right="-2"/>
        <w:jc w:val="both"/>
        <w:rPr>
          <w:sz w:val="22"/>
          <w:szCs w:val="22"/>
        </w:rPr>
      </w:pPr>
      <w:r w:rsidRPr="001C3A75">
        <w:rPr>
          <w:sz w:val="22"/>
          <w:szCs w:val="22"/>
        </w:rPr>
        <w:t>Essa escolha se justifica, em primeiro lugar, pela inexistência de Ata de Registro de Preços vigente e compatível com o objeto, o que inviabiliza a utilização do sistema de adesão (“carona”). Dessa forma, a realização de processo licitatório próprio torna-se a alternativa juridicamente necessária para atender à obrigação do convênio e assegurar a aquisição do equipamento.</w:t>
      </w:r>
    </w:p>
    <w:p w:rsidR="001C3A75" w:rsidRPr="001C3A75" w:rsidRDefault="001C3A75" w:rsidP="001C3A75">
      <w:pPr>
        <w:ind w:right="-2"/>
        <w:jc w:val="both"/>
        <w:rPr>
          <w:sz w:val="22"/>
          <w:szCs w:val="22"/>
        </w:rPr>
      </w:pPr>
    </w:p>
    <w:p w:rsidR="001C3A75" w:rsidRPr="001C3A75" w:rsidRDefault="001C3A75" w:rsidP="001C3A75">
      <w:pPr>
        <w:ind w:right="-2"/>
        <w:jc w:val="both"/>
        <w:rPr>
          <w:sz w:val="22"/>
          <w:szCs w:val="22"/>
        </w:rPr>
      </w:pPr>
      <w:r w:rsidRPr="001C3A75">
        <w:rPr>
          <w:sz w:val="22"/>
          <w:szCs w:val="22"/>
        </w:rPr>
        <w:t>Sob o aspecto técnico, a licitação própria garante ao Município plena autonomia na definição das espec</w:t>
      </w:r>
      <w:r w:rsidRPr="001C3A75">
        <w:rPr>
          <w:sz w:val="22"/>
          <w:szCs w:val="22"/>
        </w:rPr>
        <w:t>i</w:t>
      </w:r>
      <w:r w:rsidRPr="001C3A75">
        <w:rPr>
          <w:sz w:val="22"/>
          <w:szCs w:val="22"/>
        </w:rPr>
        <w:t>ficações do objeto, respeitando inclusive aquelas já fixadas no convênio, permitindo que o edital conte</w:t>
      </w:r>
      <w:r w:rsidRPr="001C3A75">
        <w:rPr>
          <w:sz w:val="22"/>
          <w:szCs w:val="22"/>
        </w:rPr>
        <w:t>m</w:t>
      </w:r>
      <w:r w:rsidRPr="001C3A75">
        <w:rPr>
          <w:sz w:val="22"/>
          <w:szCs w:val="22"/>
        </w:rPr>
        <w:t>ple requisitos adequados à realidade local, como potência mínima do motor, peso operacional compatível, cabine climatizada com certificação ROPS/FOPS, garantia estendida e assistência técnica regional. Essa autonomia assegura que o equipamento contratado atenda integralmente às demandas operacionais da Secretaria Municipal de Agricultura e Pecuária.</w:t>
      </w:r>
    </w:p>
    <w:p w:rsidR="001C3A75" w:rsidRPr="001C3A75" w:rsidRDefault="001C3A75" w:rsidP="001C3A75">
      <w:pPr>
        <w:ind w:right="-2"/>
        <w:jc w:val="both"/>
        <w:rPr>
          <w:sz w:val="22"/>
          <w:szCs w:val="22"/>
        </w:rPr>
      </w:pPr>
    </w:p>
    <w:p w:rsidR="001C3A75" w:rsidRPr="001C3A75" w:rsidRDefault="001C3A75" w:rsidP="001C3A75">
      <w:pPr>
        <w:ind w:right="-2"/>
        <w:jc w:val="both"/>
        <w:rPr>
          <w:sz w:val="22"/>
          <w:szCs w:val="22"/>
        </w:rPr>
      </w:pPr>
      <w:r w:rsidRPr="001C3A75">
        <w:rPr>
          <w:sz w:val="22"/>
          <w:szCs w:val="22"/>
        </w:rPr>
        <w:t>Do ponto de vista econômico, a competitividade do certame possibilita a obtenção de propostas mais vantajosas que a mediana de mercado apurada na pesquisa de preços, estimulando a concorrência entre fornecedores e garantindo a economicidade da aplicação dos recursos públicos. Adicionalmente, a licit</w:t>
      </w:r>
      <w:r w:rsidRPr="001C3A75">
        <w:rPr>
          <w:sz w:val="22"/>
          <w:szCs w:val="22"/>
        </w:rPr>
        <w:t>a</w:t>
      </w:r>
      <w:r w:rsidRPr="001C3A75">
        <w:rPr>
          <w:sz w:val="22"/>
          <w:szCs w:val="22"/>
        </w:rPr>
        <w:t>ção própria elimina riscos de sobrepreço e assegura transparência em todas as etapas, reforçando a regul</w:t>
      </w:r>
      <w:r w:rsidRPr="001C3A75">
        <w:rPr>
          <w:sz w:val="22"/>
          <w:szCs w:val="22"/>
        </w:rPr>
        <w:t>a</w:t>
      </w:r>
      <w:r w:rsidRPr="001C3A75">
        <w:rPr>
          <w:sz w:val="22"/>
          <w:szCs w:val="22"/>
        </w:rPr>
        <w:t>ridade da execução do convênio.</w:t>
      </w:r>
    </w:p>
    <w:p w:rsidR="001C3A75" w:rsidRPr="001C3A75" w:rsidRDefault="001C3A75" w:rsidP="001C3A75">
      <w:pPr>
        <w:ind w:right="-2"/>
        <w:jc w:val="both"/>
        <w:rPr>
          <w:sz w:val="22"/>
          <w:szCs w:val="22"/>
        </w:rPr>
      </w:pPr>
    </w:p>
    <w:p w:rsidR="001C3A75" w:rsidRPr="001C3A75" w:rsidRDefault="001C3A75" w:rsidP="001C3A75">
      <w:pPr>
        <w:ind w:right="-2"/>
        <w:jc w:val="both"/>
        <w:rPr>
          <w:sz w:val="22"/>
          <w:szCs w:val="22"/>
        </w:rPr>
      </w:pPr>
      <w:r w:rsidRPr="001C3A75">
        <w:rPr>
          <w:sz w:val="22"/>
          <w:szCs w:val="22"/>
        </w:rPr>
        <w:t>No aspecto jurídico, a solução encontra respaldo nos arts. 17 a 27 da Lei nº 14.133/2021, que disciplinam as modalidades licitatórias aplicáveis à aquisição de bens, bem como no art. 18, §1º, que exige a análise prévia de alternativas e a seleção da mais vantajosa. A licitação própria, por conferir maior controle ao Município, está em consonância com os princípios da legalidade, publicidade, eficiência, competitividade e supremacia do interesse público.</w:t>
      </w:r>
    </w:p>
    <w:p w:rsidR="001C3A75" w:rsidRPr="001C3A75" w:rsidRDefault="001C3A75" w:rsidP="001C3A75">
      <w:pPr>
        <w:ind w:right="-2"/>
        <w:jc w:val="both"/>
        <w:rPr>
          <w:sz w:val="22"/>
          <w:szCs w:val="22"/>
        </w:rPr>
      </w:pPr>
    </w:p>
    <w:p w:rsidR="001C3A75" w:rsidRPr="001C3A75" w:rsidRDefault="001C3A75" w:rsidP="001C3A75">
      <w:pPr>
        <w:ind w:right="-2"/>
        <w:jc w:val="both"/>
        <w:rPr>
          <w:sz w:val="22"/>
          <w:szCs w:val="22"/>
        </w:rPr>
      </w:pPr>
      <w:r w:rsidRPr="001C3A75">
        <w:rPr>
          <w:sz w:val="22"/>
          <w:szCs w:val="22"/>
        </w:rPr>
        <w:t>Considerando a natureza do objeto da contratação, a modalidade mais adequada é o Pregão Eletrônico, na forma do art. 28, inciso II, da Lei nº 14.133/2021, por tratar-se de um bem classificado como comum, cujas especificações de desempenho e qualidade podem ser objetivamente definidas em edital.</w:t>
      </w:r>
    </w:p>
    <w:p w:rsidR="001C3A75" w:rsidRPr="001C3A75" w:rsidRDefault="001C3A75" w:rsidP="001C3A75">
      <w:pPr>
        <w:ind w:right="-2"/>
        <w:jc w:val="both"/>
        <w:rPr>
          <w:sz w:val="22"/>
          <w:szCs w:val="22"/>
        </w:rPr>
      </w:pPr>
    </w:p>
    <w:p w:rsidR="001C3A75" w:rsidRPr="001C3A75" w:rsidRDefault="001C3A75" w:rsidP="001C3A75">
      <w:pPr>
        <w:ind w:right="-2"/>
        <w:jc w:val="both"/>
        <w:rPr>
          <w:sz w:val="22"/>
          <w:szCs w:val="22"/>
        </w:rPr>
      </w:pPr>
      <w:r w:rsidRPr="001C3A75">
        <w:rPr>
          <w:sz w:val="22"/>
          <w:szCs w:val="22"/>
        </w:rPr>
        <w:t>O critério de julgamento a ser adotado é o de menor preço global, nos termos do art. 33, inciso I, da Lei nº 14.133/2021, por se tratar do método que melhor garante objetividade, competitividade e obtenção da proposta mais vantajosa para a Administração.</w:t>
      </w:r>
    </w:p>
    <w:p w:rsidR="001C3A75" w:rsidRPr="001C3A75" w:rsidRDefault="001C3A75" w:rsidP="001C3A75">
      <w:pPr>
        <w:ind w:right="-2"/>
        <w:jc w:val="both"/>
        <w:rPr>
          <w:sz w:val="22"/>
          <w:szCs w:val="22"/>
        </w:rPr>
      </w:pPr>
    </w:p>
    <w:p w:rsidR="00D677D8" w:rsidRDefault="001C3A75" w:rsidP="001C3A75">
      <w:pPr>
        <w:ind w:right="-2"/>
        <w:jc w:val="both"/>
        <w:rPr>
          <w:sz w:val="22"/>
          <w:szCs w:val="22"/>
        </w:rPr>
      </w:pPr>
      <w:r w:rsidRPr="001C3A75">
        <w:rPr>
          <w:sz w:val="22"/>
          <w:szCs w:val="22"/>
        </w:rPr>
        <w:t>Diante disso, conclui-se que a realização de Pregão Eletrônico, com critério de julgamento de menor pr</w:t>
      </w:r>
      <w:r w:rsidRPr="001C3A75">
        <w:rPr>
          <w:sz w:val="22"/>
          <w:szCs w:val="22"/>
        </w:rPr>
        <w:t>e</w:t>
      </w:r>
      <w:r w:rsidRPr="001C3A75">
        <w:rPr>
          <w:sz w:val="22"/>
          <w:szCs w:val="22"/>
        </w:rPr>
        <w:t>ço, constitui-se como a solução mais adequada, eficiente e juridicamente segura para a aquisição prete</w:t>
      </w:r>
      <w:r w:rsidRPr="001C3A75">
        <w:rPr>
          <w:sz w:val="22"/>
          <w:szCs w:val="22"/>
        </w:rPr>
        <w:t>n</w:t>
      </w:r>
      <w:r w:rsidRPr="001C3A75">
        <w:rPr>
          <w:sz w:val="22"/>
          <w:szCs w:val="22"/>
        </w:rPr>
        <w:t>dida, garantindo o atendimento integral às necessidades da Secretaria Municipal de Agricultura e Pecuária de Bandeirantes/PR e a correta aplicação dos recursos oriundos do convênio.</w:t>
      </w:r>
    </w:p>
    <w:p w:rsidR="00D677D8" w:rsidRDefault="00D677D8">
      <w:pPr>
        <w:ind w:right="-2"/>
        <w:jc w:val="both"/>
        <w:rPr>
          <w:sz w:val="22"/>
          <w:szCs w:val="22"/>
        </w:rPr>
      </w:pPr>
    </w:p>
    <w:tbl>
      <w:tblPr>
        <w:tblStyle w:val="Tabelacomgrade"/>
        <w:tblW w:w="9344" w:type="dxa"/>
        <w:tblLayout w:type="fixed"/>
        <w:tblLook w:val="04A0"/>
      </w:tblPr>
      <w:tblGrid>
        <w:gridCol w:w="9344"/>
      </w:tblGrid>
      <w:tr w:rsidR="00D677D8">
        <w:tc>
          <w:tcPr>
            <w:tcW w:w="9344" w:type="dxa"/>
            <w:tcBorders>
              <w:top w:val="single" w:sz="12" w:space="0" w:color="17365D"/>
              <w:left w:val="single" w:sz="12" w:space="0" w:color="17365D"/>
              <w:bottom w:val="single" w:sz="12" w:space="0" w:color="17365D"/>
              <w:right w:val="single" w:sz="12" w:space="0" w:color="17365D"/>
            </w:tcBorders>
            <w:shd w:val="clear" w:color="auto" w:fill="C6D9F1" w:themeFill="text2" w:themeFillTint="33"/>
          </w:tcPr>
          <w:p w:rsidR="00D677D8" w:rsidRDefault="005964FB">
            <w:pPr>
              <w:pStyle w:val="PargrafodaLista"/>
              <w:numPr>
                <w:ilvl w:val="0"/>
                <w:numId w:val="4"/>
              </w:numPr>
              <w:ind w:left="0" w:right="-2" w:hanging="2"/>
              <w:jc w:val="both"/>
              <w:rPr>
                <w:sz w:val="22"/>
                <w:szCs w:val="22"/>
              </w:rPr>
            </w:pPr>
            <w:r>
              <w:rPr>
                <w:b/>
                <w:bCs/>
                <w:sz w:val="22"/>
                <w:szCs w:val="22"/>
              </w:rPr>
              <w:t>Estimativa do valor da contratação (art. 15, §1º VI do Decreto nº 3.537/2023):</w:t>
            </w:r>
          </w:p>
        </w:tc>
      </w:tr>
    </w:tbl>
    <w:p w:rsidR="00D677D8" w:rsidRDefault="00D677D8">
      <w:pPr>
        <w:ind w:right="-2"/>
        <w:jc w:val="both"/>
        <w:rPr>
          <w:sz w:val="22"/>
          <w:szCs w:val="22"/>
        </w:rPr>
      </w:pPr>
    </w:p>
    <w:p w:rsidR="00D3219C" w:rsidRPr="00D3219C" w:rsidRDefault="00D3219C" w:rsidP="00D3219C">
      <w:pPr>
        <w:ind w:right="-2"/>
        <w:jc w:val="both"/>
        <w:rPr>
          <w:sz w:val="22"/>
          <w:szCs w:val="22"/>
        </w:rPr>
      </w:pPr>
      <w:r w:rsidRPr="00D3219C">
        <w:rPr>
          <w:sz w:val="22"/>
          <w:szCs w:val="22"/>
        </w:rPr>
        <w:t>2.1.1. Com fundamento no Plano de Trabalho aprovado no âmbito do Convênio nº 160/2025 – SIT 72669, que estabeleceu as características e especificações técnicas do objeto, procedeu-se à pesquisa de preços em conformidade com o artigo 23 e seguintes da Lei nº 14.133/2021, bem como com os artigos 368 e seguintes do Decreto Municipal nº 3.537/2023. A atividade foi conduzida pela servidora Nilda Cristina da Costa Antunes, matrícula nº 992, responsável pela coleta, organização e análise dos dados mercadológ</w:t>
      </w:r>
      <w:r w:rsidRPr="00D3219C">
        <w:rPr>
          <w:sz w:val="22"/>
          <w:szCs w:val="22"/>
        </w:rPr>
        <w:t>i</w:t>
      </w:r>
      <w:r w:rsidRPr="00D3219C">
        <w:rPr>
          <w:sz w:val="22"/>
          <w:szCs w:val="22"/>
        </w:rPr>
        <w:t>cos. Os documentos comprobatórios encontram-se devidamente anexados a este Estudo Técnico Prelim</w:t>
      </w:r>
      <w:r w:rsidRPr="00D3219C">
        <w:rPr>
          <w:sz w:val="22"/>
          <w:szCs w:val="22"/>
        </w:rPr>
        <w:t>i</w:t>
      </w:r>
      <w:r w:rsidRPr="00D3219C">
        <w:rPr>
          <w:sz w:val="22"/>
          <w:szCs w:val="22"/>
        </w:rPr>
        <w:t>nar, acompanhados do respectivo mapa de preços.</w:t>
      </w:r>
    </w:p>
    <w:p w:rsidR="00D3219C" w:rsidRPr="00D3219C" w:rsidRDefault="00D3219C" w:rsidP="00D3219C">
      <w:pPr>
        <w:ind w:right="-2"/>
        <w:jc w:val="both"/>
        <w:rPr>
          <w:sz w:val="22"/>
          <w:szCs w:val="22"/>
        </w:rPr>
      </w:pPr>
    </w:p>
    <w:p w:rsidR="00D3219C" w:rsidRPr="00D3219C" w:rsidRDefault="00D3219C" w:rsidP="00D3219C">
      <w:pPr>
        <w:ind w:right="-2"/>
        <w:jc w:val="both"/>
        <w:rPr>
          <w:sz w:val="22"/>
          <w:szCs w:val="22"/>
        </w:rPr>
      </w:pPr>
      <w:r w:rsidRPr="00D3219C">
        <w:rPr>
          <w:sz w:val="22"/>
          <w:szCs w:val="22"/>
        </w:rPr>
        <w:t>2.1.2. A pesquisa considerou, de forma integrada, os seguintes elementos:</w:t>
      </w:r>
    </w:p>
    <w:p w:rsidR="00D3219C" w:rsidRPr="00D3219C" w:rsidRDefault="00D3219C" w:rsidP="00D3219C">
      <w:pPr>
        <w:ind w:right="-2"/>
        <w:jc w:val="both"/>
        <w:rPr>
          <w:sz w:val="22"/>
          <w:szCs w:val="22"/>
        </w:rPr>
      </w:pPr>
    </w:p>
    <w:p w:rsidR="00D3219C" w:rsidRPr="009B4BC5" w:rsidRDefault="00D3219C" w:rsidP="009B4BC5">
      <w:pPr>
        <w:pStyle w:val="PargrafodaLista"/>
        <w:numPr>
          <w:ilvl w:val="0"/>
          <w:numId w:val="22"/>
        </w:numPr>
        <w:ind w:right="-2"/>
        <w:jc w:val="both"/>
        <w:rPr>
          <w:sz w:val="22"/>
          <w:szCs w:val="22"/>
        </w:rPr>
      </w:pPr>
      <w:r w:rsidRPr="009B4BC5">
        <w:rPr>
          <w:sz w:val="22"/>
          <w:szCs w:val="22"/>
        </w:rPr>
        <w:t>Orçamentos apresentados por empresas especializadas do setor, situadas no Estado do Paraná;</w:t>
      </w:r>
    </w:p>
    <w:p w:rsidR="00D3219C" w:rsidRPr="00D3219C" w:rsidRDefault="00D3219C" w:rsidP="00D3219C">
      <w:pPr>
        <w:ind w:right="-2"/>
        <w:jc w:val="both"/>
        <w:rPr>
          <w:sz w:val="22"/>
          <w:szCs w:val="22"/>
        </w:rPr>
      </w:pPr>
    </w:p>
    <w:p w:rsidR="00D3219C" w:rsidRPr="009B4BC5" w:rsidRDefault="00D3219C" w:rsidP="009B4BC5">
      <w:pPr>
        <w:pStyle w:val="PargrafodaLista"/>
        <w:numPr>
          <w:ilvl w:val="0"/>
          <w:numId w:val="22"/>
        </w:numPr>
        <w:ind w:right="-2"/>
        <w:jc w:val="both"/>
        <w:rPr>
          <w:sz w:val="22"/>
          <w:szCs w:val="22"/>
        </w:rPr>
      </w:pPr>
      <w:r w:rsidRPr="009B4BC5">
        <w:rPr>
          <w:sz w:val="22"/>
          <w:szCs w:val="22"/>
        </w:rPr>
        <w:t>Contratações similares realizadas por outros entes públicos, conforme registros disponíveis no Painel de Preços e no PNCP;</w:t>
      </w:r>
    </w:p>
    <w:p w:rsidR="00D3219C" w:rsidRPr="00D3219C" w:rsidRDefault="00D3219C" w:rsidP="00D3219C">
      <w:pPr>
        <w:ind w:right="-2"/>
        <w:jc w:val="both"/>
        <w:rPr>
          <w:sz w:val="22"/>
          <w:szCs w:val="22"/>
        </w:rPr>
      </w:pPr>
    </w:p>
    <w:p w:rsidR="00D677D8" w:rsidRPr="009B4BC5" w:rsidRDefault="00D3219C" w:rsidP="009B4BC5">
      <w:pPr>
        <w:pStyle w:val="PargrafodaLista"/>
        <w:numPr>
          <w:ilvl w:val="0"/>
          <w:numId w:val="22"/>
        </w:numPr>
        <w:ind w:right="-2"/>
        <w:jc w:val="both"/>
        <w:rPr>
          <w:sz w:val="22"/>
          <w:szCs w:val="22"/>
        </w:rPr>
      </w:pPr>
      <w:r w:rsidRPr="009B4BC5">
        <w:rPr>
          <w:sz w:val="22"/>
          <w:szCs w:val="22"/>
        </w:rPr>
        <w:t>Propostas atualizadas e compatíveis com o objeto definido no Plano de Trabalho, observadas as especificações técnicas exigidas pelo convênio.</w:t>
      </w:r>
    </w:p>
    <w:p w:rsidR="009B4BC5" w:rsidRDefault="009B4BC5" w:rsidP="009B4BC5">
      <w:pPr>
        <w:ind w:right="-2"/>
        <w:jc w:val="both"/>
        <w:rPr>
          <w:sz w:val="22"/>
          <w:szCs w:val="22"/>
        </w:rPr>
      </w:pPr>
    </w:p>
    <w:p w:rsidR="009B4BC5" w:rsidRDefault="005964FB">
      <w:pPr>
        <w:ind w:right="-2"/>
        <w:jc w:val="both"/>
        <w:rPr>
          <w:sz w:val="22"/>
          <w:szCs w:val="22"/>
        </w:rPr>
      </w:pPr>
      <w:r>
        <w:rPr>
          <w:sz w:val="22"/>
          <w:szCs w:val="22"/>
        </w:rPr>
        <w:t>2.1.</w:t>
      </w:r>
      <w:r w:rsidR="009B4BC5">
        <w:rPr>
          <w:sz w:val="22"/>
          <w:szCs w:val="22"/>
        </w:rPr>
        <w:t>3</w:t>
      </w:r>
      <w:r>
        <w:rPr>
          <w:sz w:val="22"/>
          <w:szCs w:val="22"/>
        </w:rPr>
        <w:t xml:space="preserve">. </w:t>
      </w:r>
      <w:r w:rsidR="009B4BC5" w:rsidRPr="009B4BC5">
        <w:rPr>
          <w:sz w:val="22"/>
          <w:szCs w:val="22"/>
        </w:rPr>
        <w:t xml:space="preserve">A média de mercado apurada foi de R$ </w:t>
      </w:r>
      <w:r w:rsidR="00FE3A6B" w:rsidRPr="00FE3A6B">
        <w:rPr>
          <w:sz w:val="22"/>
          <w:szCs w:val="22"/>
        </w:rPr>
        <w:t>643.887,60</w:t>
      </w:r>
      <w:r w:rsidR="009B4BC5" w:rsidRPr="009B4BC5">
        <w:rPr>
          <w:sz w:val="22"/>
          <w:szCs w:val="22"/>
        </w:rPr>
        <w:t xml:space="preserve"> por unidade</w:t>
      </w:r>
      <w:r w:rsidR="009B4BC5">
        <w:rPr>
          <w:sz w:val="22"/>
          <w:szCs w:val="22"/>
        </w:rPr>
        <w:t>, conforme mapa de preço incluso a presente, o qual será utilizado para subsidiar esta contratação:</w:t>
      </w:r>
    </w:p>
    <w:p w:rsidR="00D677D8" w:rsidRDefault="00D677D8">
      <w:pPr>
        <w:ind w:right="-2"/>
        <w:jc w:val="both"/>
        <w:rPr>
          <w:sz w:val="22"/>
          <w:szCs w:val="22"/>
        </w:rPr>
      </w:pPr>
    </w:p>
    <w:tbl>
      <w:tblPr>
        <w:tblStyle w:val="Tabelacomgrade1"/>
        <w:tblW w:w="8646" w:type="dxa"/>
        <w:tblLook w:val="04A0"/>
      </w:tblPr>
      <w:tblGrid>
        <w:gridCol w:w="702"/>
        <w:gridCol w:w="3339"/>
        <w:gridCol w:w="720"/>
        <w:gridCol w:w="616"/>
        <w:gridCol w:w="1527"/>
        <w:gridCol w:w="1742"/>
      </w:tblGrid>
      <w:tr w:rsidR="00897165" w:rsidTr="00897165">
        <w:tc>
          <w:tcPr>
            <w:tcW w:w="702" w:type="dxa"/>
            <w:tcBorders>
              <w:top w:val="single" w:sz="4" w:space="0" w:color="auto"/>
              <w:bottom w:val="single" w:sz="4" w:space="0" w:color="auto"/>
            </w:tcBorders>
          </w:tcPr>
          <w:p w:rsidR="00897165" w:rsidRDefault="00897165">
            <w:pPr>
              <w:spacing w:before="100" w:beforeAutospacing="1" w:after="100" w:afterAutospacing="1"/>
              <w:jc w:val="both"/>
              <w:rPr>
                <w:b/>
              </w:rPr>
            </w:pPr>
            <w:r>
              <w:rPr>
                <w:b/>
              </w:rPr>
              <w:t>Item</w:t>
            </w:r>
          </w:p>
        </w:tc>
        <w:tc>
          <w:tcPr>
            <w:tcW w:w="3339" w:type="dxa"/>
            <w:tcBorders>
              <w:top w:val="single" w:sz="4" w:space="0" w:color="auto"/>
              <w:bottom w:val="single" w:sz="4" w:space="0" w:color="auto"/>
            </w:tcBorders>
          </w:tcPr>
          <w:p w:rsidR="00897165" w:rsidRDefault="00897165">
            <w:pPr>
              <w:spacing w:before="100" w:beforeAutospacing="1" w:after="100" w:afterAutospacing="1"/>
              <w:jc w:val="both"/>
              <w:rPr>
                <w:b/>
              </w:rPr>
            </w:pPr>
            <w:r>
              <w:rPr>
                <w:b/>
              </w:rPr>
              <w:t>Descrição do objeto</w:t>
            </w:r>
          </w:p>
        </w:tc>
        <w:tc>
          <w:tcPr>
            <w:tcW w:w="720" w:type="dxa"/>
            <w:tcBorders>
              <w:top w:val="single" w:sz="4" w:space="0" w:color="auto"/>
              <w:bottom w:val="single" w:sz="4" w:space="0" w:color="auto"/>
            </w:tcBorders>
          </w:tcPr>
          <w:p w:rsidR="00897165" w:rsidRDefault="00897165">
            <w:pPr>
              <w:spacing w:before="100" w:beforeAutospacing="1" w:after="100" w:afterAutospacing="1"/>
              <w:jc w:val="both"/>
              <w:rPr>
                <w:b/>
              </w:rPr>
            </w:pPr>
            <w:r>
              <w:rPr>
                <w:b/>
              </w:rPr>
              <w:t>Und</w:t>
            </w:r>
          </w:p>
        </w:tc>
        <w:tc>
          <w:tcPr>
            <w:tcW w:w="616" w:type="dxa"/>
            <w:tcBorders>
              <w:top w:val="single" w:sz="4" w:space="0" w:color="auto"/>
              <w:bottom w:val="single" w:sz="4" w:space="0" w:color="auto"/>
            </w:tcBorders>
          </w:tcPr>
          <w:p w:rsidR="00897165" w:rsidRDefault="00897165">
            <w:pPr>
              <w:spacing w:before="100" w:beforeAutospacing="1" w:after="100" w:afterAutospacing="1"/>
              <w:jc w:val="both"/>
              <w:rPr>
                <w:b/>
              </w:rPr>
            </w:pPr>
            <w:r>
              <w:rPr>
                <w:b/>
              </w:rPr>
              <w:t>Qtd</w:t>
            </w:r>
          </w:p>
        </w:tc>
        <w:tc>
          <w:tcPr>
            <w:tcW w:w="1527" w:type="dxa"/>
            <w:tcBorders>
              <w:top w:val="single" w:sz="4" w:space="0" w:color="auto"/>
              <w:bottom w:val="single" w:sz="4" w:space="0" w:color="auto"/>
            </w:tcBorders>
          </w:tcPr>
          <w:p w:rsidR="00897165" w:rsidRDefault="00897165">
            <w:pPr>
              <w:jc w:val="both"/>
              <w:rPr>
                <w:b/>
              </w:rPr>
            </w:pPr>
            <w:r>
              <w:rPr>
                <w:b/>
              </w:rPr>
              <w:t xml:space="preserve">Valor </w:t>
            </w:r>
          </w:p>
          <w:p w:rsidR="00897165" w:rsidRDefault="00897165">
            <w:pPr>
              <w:jc w:val="both"/>
              <w:rPr>
                <w:b/>
              </w:rPr>
            </w:pPr>
            <w:r>
              <w:rPr>
                <w:b/>
              </w:rPr>
              <w:t>Unitário</w:t>
            </w:r>
          </w:p>
        </w:tc>
        <w:tc>
          <w:tcPr>
            <w:tcW w:w="1742" w:type="dxa"/>
            <w:tcBorders>
              <w:top w:val="single" w:sz="4" w:space="0" w:color="auto"/>
              <w:bottom w:val="single" w:sz="4" w:space="0" w:color="auto"/>
            </w:tcBorders>
          </w:tcPr>
          <w:p w:rsidR="00897165" w:rsidRDefault="00897165">
            <w:pPr>
              <w:jc w:val="both"/>
              <w:rPr>
                <w:b/>
              </w:rPr>
            </w:pPr>
            <w:r>
              <w:rPr>
                <w:b/>
              </w:rPr>
              <w:t xml:space="preserve">Valor </w:t>
            </w:r>
          </w:p>
          <w:p w:rsidR="00897165" w:rsidRDefault="00897165">
            <w:pPr>
              <w:jc w:val="both"/>
              <w:rPr>
                <w:b/>
              </w:rPr>
            </w:pPr>
            <w:r>
              <w:rPr>
                <w:b/>
              </w:rPr>
              <w:t>Total</w:t>
            </w:r>
          </w:p>
        </w:tc>
      </w:tr>
      <w:tr w:rsidR="00897165" w:rsidTr="00897165">
        <w:tc>
          <w:tcPr>
            <w:tcW w:w="702" w:type="dxa"/>
            <w:tcBorders>
              <w:top w:val="single" w:sz="4" w:space="0" w:color="auto"/>
              <w:bottom w:val="single" w:sz="4" w:space="0" w:color="auto"/>
            </w:tcBorders>
          </w:tcPr>
          <w:p w:rsidR="00897165" w:rsidRDefault="00897165">
            <w:pPr>
              <w:spacing w:before="100" w:beforeAutospacing="1" w:after="100" w:afterAutospacing="1"/>
              <w:jc w:val="both"/>
              <w:rPr>
                <w:b/>
              </w:rPr>
            </w:pPr>
            <w:r>
              <w:rPr>
                <w:b/>
              </w:rPr>
              <w:t>01</w:t>
            </w:r>
          </w:p>
        </w:tc>
        <w:tc>
          <w:tcPr>
            <w:tcW w:w="3339" w:type="dxa"/>
            <w:tcBorders>
              <w:top w:val="single" w:sz="4" w:space="0" w:color="auto"/>
              <w:bottom w:val="single" w:sz="4" w:space="0" w:color="auto"/>
            </w:tcBorders>
          </w:tcPr>
          <w:p w:rsidR="00897165" w:rsidRDefault="00897165" w:rsidP="005964FB">
            <w:pPr>
              <w:jc w:val="both"/>
            </w:pPr>
            <w:r w:rsidRPr="00FD7C98">
              <w:t>PÁ CARREGADEIRA SOBRE R</w:t>
            </w:r>
            <w:r w:rsidRPr="00FD7C98">
              <w:t>O</w:t>
            </w:r>
            <w:r w:rsidRPr="00FD7C98">
              <w:t>DAS, última série, nova, zero hora, admissível fabricação s</w:t>
            </w:r>
            <w:r w:rsidRPr="00FD7C98">
              <w:t>e</w:t>
            </w:r>
            <w:r w:rsidRPr="00FD7C98">
              <w:t>gundo semestre de 2024 ou s</w:t>
            </w:r>
            <w:r w:rsidRPr="00FD7C98">
              <w:t>u</w:t>
            </w:r>
            <w:r w:rsidRPr="00FD7C98">
              <w:t>perior, potência efetiva líquida (máxima em HP) mínima de 130 HP, motor diesel que atenda ao controle de poluentes (CONAMA, PROCONVE, MAR I) Peso oper</w:t>
            </w:r>
            <w:r w:rsidRPr="00FD7C98">
              <w:t>a</w:t>
            </w:r>
            <w:r w:rsidRPr="00FD7C98">
              <w:t>cional de 11.500 kg até 13.000kg, número de marcha 4(quatro) a frente e 3 (três) a ré; sistema de acoplamento conve</w:t>
            </w:r>
            <w:r w:rsidRPr="00FD7C98">
              <w:t>r</w:t>
            </w:r>
            <w:r w:rsidRPr="00FD7C98">
              <w:t>sor de torque, transmissão tipo PowerShift ou Hidrostática, si</w:t>
            </w:r>
            <w:r w:rsidRPr="00FD7C98">
              <w:t>s</w:t>
            </w:r>
            <w:r w:rsidRPr="00FD7C98">
              <w:t>tema hidráulico bomba do tipo engrenagem ou pistão de fluxo ariável, ângulo de articulação mínimo 38º para cada lado, c</w:t>
            </w:r>
            <w:r w:rsidRPr="00FD7C98">
              <w:t>a</w:t>
            </w:r>
            <w:r w:rsidRPr="00FD7C98">
              <w:t>pacidade mínima da caçamba 1,70 m³ e borda Cortante, com dentes e segmento aparafusado, com 2 (dois) cilindros de elev</w:t>
            </w:r>
            <w:r w:rsidRPr="00FD7C98">
              <w:t>a</w:t>
            </w:r>
            <w:r w:rsidRPr="00FD7C98">
              <w:t>ção e 1 (um) cilindro de tomb</w:t>
            </w:r>
            <w:r w:rsidRPr="00FD7C98">
              <w:t>a</w:t>
            </w:r>
            <w:r w:rsidRPr="00FD7C98">
              <w:t>mento, força de desagregação na caçamba, mínimo de 9.800 kgf, carga operacional mínima de 3.200 kg, sistema elétrico de 24 V, direção Hidráulica orbitrol ou hidrostática, manobrabilidade articulada, PNEUS traseiros e dianteiros 17.5×25 E3/L3, cab</w:t>
            </w:r>
            <w:r w:rsidRPr="00FD7C98">
              <w:t>i</w:t>
            </w:r>
            <w:r w:rsidRPr="00FD7C98">
              <w:t>ne fechada com ar condicionado de fábrica e certificação ROPS/FOPS, GARANTIA de 12 (doze) meses, e todas as REV</w:t>
            </w:r>
            <w:r w:rsidRPr="00FD7C98">
              <w:t>I</w:t>
            </w:r>
            <w:r w:rsidRPr="00FD7C98">
              <w:t>SÕES de manutenção preventiva, logística, einsumos às expensas da proponente durante o perí</w:t>
            </w:r>
            <w:r w:rsidRPr="00FD7C98">
              <w:t>o</w:t>
            </w:r>
            <w:r w:rsidRPr="00FD7C98">
              <w:t>do de garantia ou 2.000 horas, ENTREGA: tanque cheio, capac</w:t>
            </w:r>
            <w:r w:rsidRPr="00FD7C98">
              <w:t>i</w:t>
            </w:r>
            <w:r w:rsidRPr="00FD7C98">
              <w:t>dade mínima de 175 litros, sendo a CONTRATADA responsável por todas as despesas, por danos e ou avarias do bem até a efetiva entrega na sede de cada Munic</w:t>
            </w:r>
            <w:r w:rsidRPr="00FD7C98">
              <w:t>í</w:t>
            </w:r>
            <w:r w:rsidRPr="00FD7C98">
              <w:lastRenderedPageBreak/>
              <w:t>pio participante do(s) Progr</w:t>
            </w:r>
            <w:r w:rsidRPr="00FD7C98">
              <w:t>a</w:t>
            </w:r>
            <w:r w:rsidRPr="00FD7C98">
              <w:t>ma(s), a ser recebido por serv</w:t>
            </w:r>
            <w:r w:rsidRPr="00FD7C98">
              <w:t>i</w:t>
            </w:r>
            <w:r w:rsidRPr="00FD7C98">
              <w:t>dor municipal responsável pelo recebimento.. TREINAMENTO: sim, entrega técnica e reiname</w:t>
            </w:r>
            <w:r w:rsidRPr="00FD7C98">
              <w:t>n</w:t>
            </w:r>
            <w:r w:rsidRPr="00FD7C98">
              <w:t>to a ser realizada pelo fornec</w:t>
            </w:r>
            <w:r w:rsidRPr="00FD7C98">
              <w:t>e</w:t>
            </w:r>
            <w:r w:rsidRPr="00FD7C98">
              <w:t>dor, com fornecimento de certif</w:t>
            </w:r>
            <w:r w:rsidRPr="00FD7C98">
              <w:t>i</w:t>
            </w:r>
            <w:r w:rsidRPr="00FD7C98">
              <w:t>cado, ADESIVO ESPECÍFICO DE CADA PROGRAMA</w:t>
            </w:r>
          </w:p>
        </w:tc>
        <w:tc>
          <w:tcPr>
            <w:tcW w:w="720" w:type="dxa"/>
            <w:tcBorders>
              <w:top w:val="single" w:sz="4" w:space="0" w:color="auto"/>
              <w:bottom w:val="single" w:sz="4" w:space="0" w:color="auto"/>
            </w:tcBorders>
          </w:tcPr>
          <w:p w:rsidR="00897165" w:rsidRDefault="00897165">
            <w:pPr>
              <w:spacing w:before="100" w:beforeAutospacing="1" w:after="100" w:afterAutospacing="1"/>
              <w:jc w:val="both"/>
              <w:rPr>
                <w:b/>
              </w:rPr>
            </w:pPr>
            <w:r>
              <w:rPr>
                <w:b/>
              </w:rPr>
              <w:lastRenderedPageBreak/>
              <w:t>Und</w:t>
            </w:r>
          </w:p>
        </w:tc>
        <w:tc>
          <w:tcPr>
            <w:tcW w:w="616" w:type="dxa"/>
            <w:tcBorders>
              <w:top w:val="single" w:sz="4" w:space="0" w:color="auto"/>
              <w:bottom w:val="single" w:sz="4" w:space="0" w:color="auto"/>
            </w:tcBorders>
          </w:tcPr>
          <w:p w:rsidR="00897165" w:rsidRDefault="00897165">
            <w:pPr>
              <w:spacing w:before="100" w:beforeAutospacing="1" w:after="100" w:afterAutospacing="1"/>
              <w:jc w:val="both"/>
              <w:rPr>
                <w:b/>
              </w:rPr>
            </w:pPr>
            <w:r>
              <w:rPr>
                <w:b/>
              </w:rPr>
              <w:t>01</w:t>
            </w:r>
          </w:p>
        </w:tc>
        <w:tc>
          <w:tcPr>
            <w:tcW w:w="1527" w:type="dxa"/>
            <w:tcBorders>
              <w:top w:val="single" w:sz="4" w:space="0" w:color="auto"/>
              <w:bottom w:val="single" w:sz="4" w:space="0" w:color="auto"/>
            </w:tcBorders>
          </w:tcPr>
          <w:p w:rsidR="00897165" w:rsidRDefault="00897165">
            <w:pPr>
              <w:ind w:right="-2"/>
              <w:jc w:val="center"/>
            </w:pPr>
            <w:r>
              <w:t>R$643.887,60</w:t>
            </w:r>
          </w:p>
          <w:p w:rsidR="00897165" w:rsidRDefault="00897165">
            <w:pPr>
              <w:jc w:val="both"/>
              <w:rPr>
                <w:b/>
              </w:rPr>
            </w:pPr>
          </w:p>
        </w:tc>
        <w:tc>
          <w:tcPr>
            <w:tcW w:w="1742" w:type="dxa"/>
            <w:tcBorders>
              <w:top w:val="single" w:sz="4" w:space="0" w:color="auto"/>
              <w:bottom w:val="single" w:sz="4" w:space="0" w:color="auto"/>
            </w:tcBorders>
          </w:tcPr>
          <w:p w:rsidR="00897165" w:rsidRDefault="00897165">
            <w:pPr>
              <w:ind w:right="-2"/>
              <w:jc w:val="center"/>
            </w:pPr>
            <w:r>
              <w:t>R$643.887,60</w:t>
            </w:r>
          </w:p>
          <w:p w:rsidR="00897165" w:rsidRDefault="00897165">
            <w:pPr>
              <w:jc w:val="both"/>
              <w:rPr>
                <w:b/>
              </w:rPr>
            </w:pPr>
          </w:p>
        </w:tc>
      </w:tr>
    </w:tbl>
    <w:tbl>
      <w:tblPr>
        <w:tblStyle w:val="Tabelacomgrade"/>
        <w:tblW w:w="9577" w:type="dxa"/>
        <w:tblLayout w:type="fixed"/>
        <w:tblLook w:val="04A0"/>
      </w:tblPr>
      <w:tblGrid>
        <w:gridCol w:w="9577"/>
      </w:tblGrid>
      <w:tr w:rsidR="00D677D8">
        <w:tc>
          <w:tcPr>
            <w:tcW w:w="9577" w:type="dxa"/>
          </w:tcPr>
          <w:p w:rsidR="00FE3A6B" w:rsidRPr="00717F04" w:rsidRDefault="00FE3A6B" w:rsidP="00FE3A6B">
            <w:pPr>
              <w:pStyle w:val="PargrafodaLista"/>
              <w:ind w:left="0" w:right="-2"/>
              <w:jc w:val="center"/>
              <w:rPr>
                <w:color w:val="000000"/>
              </w:rPr>
            </w:pPr>
            <w:r w:rsidRPr="00717F04">
              <w:rPr>
                <w:color w:val="000000"/>
                <w:sz w:val="18"/>
                <w:szCs w:val="18"/>
              </w:rPr>
              <w:lastRenderedPageBreak/>
              <w:t>VALOR TOTAL DO CONTRATO</w:t>
            </w:r>
            <w:r>
              <w:rPr>
                <w:color w:val="000000"/>
                <w:sz w:val="18"/>
                <w:szCs w:val="18"/>
              </w:rPr>
              <w:t xml:space="preserve"> </w:t>
            </w:r>
            <w:r w:rsidRPr="00717F04">
              <w:rPr>
                <w:b/>
                <w:bCs/>
                <w:color w:val="000000"/>
                <w:sz w:val="20"/>
                <w:szCs w:val="20"/>
              </w:rPr>
              <w:t xml:space="preserve">R$ </w:t>
            </w:r>
            <w:r w:rsidRPr="00FE3A6B">
              <w:rPr>
                <w:b/>
                <w:bCs/>
                <w:color w:val="000000"/>
                <w:sz w:val="20"/>
                <w:szCs w:val="20"/>
              </w:rPr>
              <w:t xml:space="preserve">643.887,60 </w:t>
            </w:r>
            <w:r w:rsidRPr="00717F04">
              <w:rPr>
                <w:color w:val="000000"/>
                <w:sz w:val="20"/>
                <w:szCs w:val="20"/>
              </w:rPr>
              <w:t>(</w:t>
            </w:r>
            <w:r>
              <w:rPr>
                <w:color w:val="000000"/>
                <w:sz w:val="20"/>
                <w:szCs w:val="20"/>
              </w:rPr>
              <w:t>seiscentos e quarenta e três mil oitocentos e oitenta e sete reais e sessenta centavos</w:t>
            </w:r>
            <w:r w:rsidRPr="00717F04">
              <w:rPr>
                <w:color w:val="000000"/>
                <w:sz w:val="20"/>
                <w:szCs w:val="20"/>
              </w:rPr>
              <w:t>).</w:t>
            </w:r>
          </w:p>
          <w:p w:rsidR="00D677D8" w:rsidRDefault="00D677D8" w:rsidP="00FE3A6B">
            <w:pPr>
              <w:pStyle w:val="PargrafodaLista"/>
              <w:ind w:left="0" w:right="-2"/>
              <w:jc w:val="center"/>
              <w:rPr>
                <w:color w:val="000000"/>
              </w:rPr>
            </w:pPr>
          </w:p>
        </w:tc>
      </w:tr>
    </w:tbl>
    <w:p w:rsidR="00D677D8" w:rsidRDefault="00D677D8">
      <w:pPr>
        <w:ind w:right="-2"/>
        <w:jc w:val="both"/>
        <w:rPr>
          <w:sz w:val="22"/>
          <w:szCs w:val="22"/>
        </w:rPr>
      </w:pPr>
    </w:p>
    <w:tbl>
      <w:tblPr>
        <w:tblStyle w:val="Tabelacomgrade"/>
        <w:tblW w:w="9344" w:type="dxa"/>
        <w:tblLayout w:type="fixed"/>
        <w:tblLook w:val="04A0"/>
      </w:tblPr>
      <w:tblGrid>
        <w:gridCol w:w="284"/>
        <w:gridCol w:w="9060"/>
      </w:tblGrid>
      <w:tr w:rsidR="00D677D8">
        <w:tc>
          <w:tcPr>
            <w:tcW w:w="9344" w:type="dxa"/>
            <w:gridSpan w:val="2"/>
            <w:tcBorders>
              <w:top w:val="nil"/>
              <w:left w:val="nil"/>
              <w:bottom w:val="nil"/>
              <w:right w:val="nil"/>
            </w:tcBorders>
            <w:shd w:val="clear" w:color="auto" w:fill="FFFFFF" w:themeFill="background1"/>
          </w:tcPr>
          <w:p w:rsidR="00D677D8" w:rsidRDefault="005964FB">
            <w:pPr>
              <w:ind w:left="-108" w:right="-2"/>
              <w:jc w:val="both"/>
              <w:rPr>
                <w:b/>
                <w:bCs/>
                <w:sz w:val="22"/>
                <w:szCs w:val="22"/>
              </w:rPr>
            </w:pPr>
            <w:r>
              <w:rPr>
                <w:b/>
                <w:bCs/>
                <w:sz w:val="22"/>
                <w:szCs w:val="22"/>
              </w:rPr>
              <w:t>2.2.1. Parâmetros utilizados (documentos em anexo):</w:t>
            </w:r>
          </w:p>
        </w:tc>
      </w:tr>
      <w:tr w:rsidR="00D677D8">
        <w:tc>
          <w:tcPr>
            <w:tcW w:w="284" w:type="dxa"/>
            <w:tcBorders>
              <w:top w:val="single" w:sz="12" w:space="0" w:color="000000"/>
              <w:left w:val="single" w:sz="12" w:space="0" w:color="000000"/>
              <w:bottom w:val="single" w:sz="12" w:space="0" w:color="000000"/>
              <w:right w:val="single" w:sz="12" w:space="0" w:color="000000"/>
            </w:tcBorders>
          </w:tcPr>
          <w:p w:rsidR="00D677D8" w:rsidRDefault="009B4BC5">
            <w:pPr>
              <w:pStyle w:val="PargrafodaLista"/>
              <w:ind w:left="0" w:right="-2" w:hanging="2"/>
              <w:jc w:val="center"/>
              <w:rPr>
                <w:b/>
                <w:bCs/>
                <w:color w:val="FF0000"/>
                <w:sz w:val="22"/>
                <w:szCs w:val="22"/>
              </w:rPr>
            </w:pPr>
            <w:r>
              <w:rPr>
                <w:b/>
                <w:bCs/>
                <w:color w:val="FF0000"/>
                <w:sz w:val="22"/>
                <w:szCs w:val="22"/>
              </w:rPr>
              <w:t>x</w:t>
            </w:r>
          </w:p>
        </w:tc>
        <w:tc>
          <w:tcPr>
            <w:tcW w:w="9060" w:type="dxa"/>
            <w:tcBorders>
              <w:top w:val="nil"/>
              <w:left w:val="single" w:sz="12" w:space="0" w:color="000000"/>
              <w:bottom w:val="nil"/>
              <w:right w:val="nil"/>
            </w:tcBorders>
          </w:tcPr>
          <w:p w:rsidR="00D677D8" w:rsidRDefault="005964FB">
            <w:pPr>
              <w:pStyle w:val="PargrafodaLista"/>
              <w:ind w:left="0" w:right="-2" w:hanging="2"/>
              <w:jc w:val="both"/>
              <w:rPr>
                <w:sz w:val="22"/>
                <w:szCs w:val="22"/>
              </w:rPr>
            </w:pPr>
            <w:r>
              <w:rPr>
                <w:sz w:val="22"/>
                <w:szCs w:val="22"/>
              </w:rPr>
              <w:t>Portal Nacional de Contratações Públicas – PNCP;</w:t>
            </w:r>
          </w:p>
        </w:tc>
      </w:tr>
      <w:tr w:rsidR="00D677D8">
        <w:tc>
          <w:tcPr>
            <w:tcW w:w="284" w:type="dxa"/>
            <w:tcBorders>
              <w:top w:val="single" w:sz="12" w:space="0" w:color="000000"/>
              <w:left w:val="nil"/>
              <w:bottom w:val="single" w:sz="12" w:space="0" w:color="000000"/>
              <w:right w:val="nil"/>
            </w:tcBorders>
          </w:tcPr>
          <w:p w:rsidR="00D677D8" w:rsidRDefault="00D677D8">
            <w:pPr>
              <w:pStyle w:val="PargrafodaLista"/>
              <w:ind w:left="0" w:right="-2" w:hanging="2"/>
              <w:jc w:val="center"/>
              <w:rPr>
                <w:b/>
                <w:bCs/>
                <w:color w:val="FF0000"/>
                <w:sz w:val="22"/>
                <w:szCs w:val="22"/>
              </w:rPr>
            </w:pPr>
          </w:p>
        </w:tc>
        <w:tc>
          <w:tcPr>
            <w:tcW w:w="9060" w:type="dxa"/>
            <w:tcBorders>
              <w:top w:val="nil"/>
              <w:left w:val="nil"/>
              <w:bottom w:val="nil"/>
              <w:right w:val="nil"/>
            </w:tcBorders>
          </w:tcPr>
          <w:p w:rsidR="00D677D8" w:rsidRDefault="00D677D8">
            <w:pPr>
              <w:pStyle w:val="PargrafodaLista"/>
              <w:ind w:left="0" w:right="-2" w:hanging="2"/>
              <w:jc w:val="both"/>
              <w:rPr>
                <w:sz w:val="22"/>
                <w:szCs w:val="22"/>
              </w:rPr>
            </w:pPr>
          </w:p>
        </w:tc>
      </w:tr>
      <w:tr w:rsidR="00D677D8">
        <w:tc>
          <w:tcPr>
            <w:tcW w:w="284" w:type="dxa"/>
            <w:tcBorders>
              <w:top w:val="single" w:sz="12" w:space="0" w:color="000000"/>
              <w:left w:val="single" w:sz="12" w:space="0" w:color="000000"/>
              <w:bottom w:val="single" w:sz="12" w:space="0" w:color="000000"/>
              <w:right w:val="single" w:sz="12" w:space="0" w:color="000000"/>
            </w:tcBorders>
          </w:tcPr>
          <w:p w:rsidR="00D677D8" w:rsidRDefault="009B4BC5">
            <w:pPr>
              <w:pStyle w:val="PargrafodaLista"/>
              <w:ind w:left="0" w:right="-2" w:hanging="2"/>
              <w:jc w:val="center"/>
              <w:rPr>
                <w:b/>
                <w:bCs/>
                <w:color w:val="FF0000"/>
                <w:sz w:val="22"/>
                <w:szCs w:val="22"/>
              </w:rPr>
            </w:pPr>
            <w:r>
              <w:rPr>
                <w:b/>
                <w:bCs/>
                <w:color w:val="FF0000"/>
                <w:sz w:val="22"/>
                <w:szCs w:val="22"/>
              </w:rPr>
              <w:t>x</w:t>
            </w:r>
          </w:p>
        </w:tc>
        <w:tc>
          <w:tcPr>
            <w:tcW w:w="9060" w:type="dxa"/>
            <w:tcBorders>
              <w:top w:val="nil"/>
              <w:left w:val="single" w:sz="12" w:space="0" w:color="000000"/>
              <w:bottom w:val="nil"/>
              <w:right w:val="nil"/>
            </w:tcBorders>
          </w:tcPr>
          <w:p w:rsidR="00D677D8" w:rsidRDefault="005964FB">
            <w:pPr>
              <w:pStyle w:val="PargrafodaLista"/>
              <w:ind w:left="0" w:right="-2" w:hanging="2"/>
              <w:jc w:val="both"/>
              <w:rPr>
                <w:sz w:val="22"/>
                <w:szCs w:val="22"/>
              </w:rPr>
            </w:pPr>
            <w:r>
              <w:rPr>
                <w:sz w:val="22"/>
                <w:szCs w:val="22"/>
              </w:rPr>
              <w:t>Painel de Preços do Governo Federal;</w:t>
            </w:r>
          </w:p>
        </w:tc>
      </w:tr>
      <w:tr w:rsidR="00D677D8">
        <w:tc>
          <w:tcPr>
            <w:tcW w:w="284" w:type="dxa"/>
            <w:tcBorders>
              <w:top w:val="single" w:sz="12" w:space="0" w:color="000000"/>
              <w:left w:val="nil"/>
              <w:bottom w:val="single" w:sz="12" w:space="0" w:color="000000"/>
              <w:right w:val="nil"/>
            </w:tcBorders>
          </w:tcPr>
          <w:p w:rsidR="00D677D8" w:rsidRDefault="00D677D8">
            <w:pPr>
              <w:pStyle w:val="PargrafodaLista"/>
              <w:ind w:left="0" w:right="-2" w:hanging="2"/>
              <w:jc w:val="center"/>
              <w:rPr>
                <w:b/>
                <w:bCs/>
                <w:color w:val="FF0000"/>
                <w:sz w:val="22"/>
                <w:szCs w:val="22"/>
              </w:rPr>
            </w:pPr>
          </w:p>
        </w:tc>
        <w:tc>
          <w:tcPr>
            <w:tcW w:w="9060" w:type="dxa"/>
            <w:tcBorders>
              <w:top w:val="nil"/>
              <w:left w:val="nil"/>
              <w:bottom w:val="nil"/>
              <w:right w:val="nil"/>
            </w:tcBorders>
          </w:tcPr>
          <w:p w:rsidR="00D677D8" w:rsidRDefault="00D677D8">
            <w:pPr>
              <w:pStyle w:val="PargrafodaLista"/>
              <w:ind w:left="0" w:right="-2" w:hanging="2"/>
              <w:jc w:val="both"/>
              <w:rPr>
                <w:sz w:val="22"/>
                <w:szCs w:val="22"/>
              </w:rPr>
            </w:pPr>
          </w:p>
        </w:tc>
      </w:tr>
      <w:tr w:rsidR="00D677D8">
        <w:tc>
          <w:tcPr>
            <w:tcW w:w="284" w:type="dxa"/>
            <w:tcBorders>
              <w:top w:val="single" w:sz="12" w:space="0" w:color="000000"/>
              <w:left w:val="single" w:sz="12" w:space="0" w:color="000000"/>
              <w:bottom w:val="single" w:sz="12" w:space="0" w:color="000000"/>
              <w:right w:val="single" w:sz="12" w:space="0" w:color="000000"/>
            </w:tcBorders>
          </w:tcPr>
          <w:p w:rsidR="00D677D8" w:rsidRDefault="00D677D8">
            <w:pPr>
              <w:pStyle w:val="PargrafodaLista"/>
              <w:ind w:left="0" w:right="-2" w:hanging="2"/>
              <w:jc w:val="center"/>
              <w:rPr>
                <w:b/>
                <w:bCs/>
                <w:color w:val="FF0000"/>
                <w:sz w:val="22"/>
                <w:szCs w:val="22"/>
              </w:rPr>
            </w:pPr>
          </w:p>
        </w:tc>
        <w:tc>
          <w:tcPr>
            <w:tcW w:w="9060" w:type="dxa"/>
            <w:tcBorders>
              <w:top w:val="nil"/>
              <w:left w:val="single" w:sz="12" w:space="0" w:color="000000"/>
              <w:bottom w:val="nil"/>
              <w:right w:val="nil"/>
            </w:tcBorders>
          </w:tcPr>
          <w:p w:rsidR="00D677D8" w:rsidRDefault="005964FB">
            <w:pPr>
              <w:pStyle w:val="PargrafodaLista"/>
              <w:ind w:left="0" w:right="-2" w:hanging="2"/>
              <w:jc w:val="both"/>
              <w:rPr>
                <w:sz w:val="22"/>
                <w:szCs w:val="22"/>
              </w:rPr>
            </w:pPr>
            <w:r>
              <w:rPr>
                <w:sz w:val="22"/>
                <w:szCs w:val="22"/>
              </w:rPr>
              <w:t>Banco de Preços em Saúde;</w:t>
            </w:r>
          </w:p>
        </w:tc>
      </w:tr>
      <w:tr w:rsidR="00D677D8">
        <w:tc>
          <w:tcPr>
            <w:tcW w:w="284" w:type="dxa"/>
            <w:tcBorders>
              <w:top w:val="single" w:sz="12" w:space="0" w:color="000000"/>
              <w:left w:val="nil"/>
              <w:bottom w:val="single" w:sz="12" w:space="0" w:color="000000"/>
              <w:right w:val="nil"/>
            </w:tcBorders>
          </w:tcPr>
          <w:p w:rsidR="00D677D8" w:rsidRDefault="00D677D8">
            <w:pPr>
              <w:pStyle w:val="PargrafodaLista"/>
              <w:ind w:left="0" w:right="-2" w:hanging="2"/>
              <w:jc w:val="center"/>
              <w:rPr>
                <w:b/>
                <w:bCs/>
                <w:color w:val="FF0000"/>
                <w:sz w:val="22"/>
                <w:szCs w:val="22"/>
              </w:rPr>
            </w:pPr>
          </w:p>
        </w:tc>
        <w:tc>
          <w:tcPr>
            <w:tcW w:w="9060" w:type="dxa"/>
            <w:tcBorders>
              <w:top w:val="nil"/>
              <w:left w:val="nil"/>
              <w:bottom w:val="nil"/>
              <w:right w:val="nil"/>
            </w:tcBorders>
          </w:tcPr>
          <w:p w:rsidR="00D677D8" w:rsidRDefault="00D677D8">
            <w:pPr>
              <w:pStyle w:val="PargrafodaLista"/>
              <w:ind w:left="0" w:right="-2" w:hanging="2"/>
              <w:jc w:val="both"/>
              <w:rPr>
                <w:sz w:val="22"/>
                <w:szCs w:val="22"/>
              </w:rPr>
            </w:pPr>
          </w:p>
        </w:tc>
      </w:tr>
      <w:tr w:rsidR="00D677D8">
        <w:trPr>
          <w:trHeight w:val="183"/>
        </w:trPr>
        <w:tc>
          <w:tcPr>
            <w:tcW w:w="284" w:type="dxa"/>
            <w:tcBorders>
              <w:top w:val="single" w:sz="12" w:space="0" w:color="000000"/>
              <w:left w:val="single" w:sz="12" w:space="0" w:color="000000"/>
              <w:bottom w:val="single" w:sz="12" w:space="0" w:color="000000"/>
              <w:right w:val="single" w:sz="12" w:space="0" w:color="000000"/>
            </w:tcBorders>
          </w:tcPr>
          <w:p w:rsidR="00D677D8" w:rsidRDefault="009B4BC5">
            <w:pPr>
              <w:pStyle w:val="PargrafodaLista"/>
              <w:ind w:left="0" w:right="-2" w:hanging="2"/>
              <w:jc w:val="center"/>
              <w:rPr>
                <w:b/>
                <w:bCs/>
                <w:color w:val="FF0000"/>
                <w:sz w:val="22"/>
                <w:szCs w:val="22"/>
              </w:rPr>
            </w:pPr>
            <w:r>
              <w:rPr>
                <w:b/>
                <w:bCs/>
                <w:color w:val="FF0000"/>
                <w:sz w:val="22"/>
                <w:szCs w:val="22"/>
              </w:rPr>
              <w:t>x</w:t>
            </w:r>
          </w:p>
        </w:tc>
        <w:tc>
          <w:tcPr>
            <w:tcW w:w="9060" w:type="dxa"/>
            <w:vMerge w:val="restart"/>
            <w:tcBorders>
              <w:top w:val="nil"/>
              <w:left w:val="single" w:sz="12" w:space="0" w:color="000000"/>
              <w:bottom w:val="nil"/>
              <w:right w:val="nil"/>
            </w:tcBorders>
          </w:tcPr>
          <w:p w:rsidR="00D677D8" w:rsidRDefault="005964FB">
            <w:pPr>
              <w:pStyle w:val="PargrafodaLista"/>
              <w:ind w:left="0" w:right="-2" w:hanging="2"/>
              <w:jc w:val="both"/>
              <w:rPr>
                <w:sz w:val="22"/>
                <w:szCs w:val="22"/>
              </w:rPr>
            </w:pPr>
            <w:r>
              <w:rPr>
                <w:sz w:val="22"/>
                <w:szCs w:val="22"/>
              </w:rPr>
              <w:t>Contratações similares feitas pela Administração Pública, inclusive mediante sistema de registro de preços;</w:t>
            </w:r>
          </w:p>
        </w:tc>
      </w:tr>
      <w:tr w:rsidR="00D677D8">
        <w:trPr>
          <w:trHeight w:val="182"/>
        </w:trPr>
        <w:tc>
          <w:tcPr>
            <w:tcW w:w="284" w:type="dxa"/>
            <w:tcBorders>
              <w:top w:val="single" w:sz="12" w:space="0" w:color="000000"/>
              <w:left w:val="nil"/>
              <w:bottom w:val="single" w:sz="12" w:space="0" w:color="000000"/>
              <w:right w:val="nil"/>
            </w:tcBorders>
          </w:tcPr>
          <w:p w:rsidR="00D677D8" w:rsidRDefault="00D677D8">
            <w:pPr>
              <w:pStyle w:val="PargrafodaLista"/>
              <w:ind w:left="0" w:right="-2" w:hanging="2"/>
              <w:jc w:val="center"/>
              <w:rPr>
                <w:b/>
                <w:bCs/>
                <w:color w:val="FF0000"/>
                <w:sz w:val="22"/>
                <w:szCs w:val="22"/>
              </w:rPr>
            </w:pPr>
          </w:p>
        </w:tc>
        <w:tc>
          <w:tcPr>
            <w:tcW w:w="9060" w:type="dxa"/>
            <w:vMerge/>
            <w:tcBorders>
              <w:top w:val="dashSmallGap" w:sz="8" w:space="0" w:color="000000"/>
              <w:left w:val="nil"/>
              <w:bottom w:val="nil"/>
              <w:right w:val="nil"/>
            </w:tcBorders>
          </w:tcPr>
          <w:p w:rsidR="00D677D8" w:rsidRDefault="00D677D8">
            <w:pPr>
              <w:pStyle w:val="PargrafodaLista"/>
              <w:ind w:left="0" w:right="-2" w:hanging="2"/>
              <w:jc w:val="both"/>
              <w:rPr>
                <w:sz w:val="22"/>
                <w:szCs w:val="22"/>
              </w:rPr>
            </w:pPr>
          </w:p>
        </w:tc>
      </w:tr>
      <w:tr w:rsidR="00D677D8">
        <w:trPr>
          <w:trHeight w:val="183"/>
        </w:trPr>
        <w:tc>
          <w:tcPr>
            <w:tcW w:w="284" w:type="dxa"/>
            <w:tcBorders>
              <w:top w:val="single" w:sz="12" w:space="0" w:color="000000"/>
              <w:left w:val="single" w:sz="12" w:space="0" w:color="000000"/>
              <w:bottom w:val="single" w:sz="12" w:space="0" w:color="000000"/>
              <w:right w:val="single" w:sz="12" w:space="0" w:color="000000"/>
            </w:tcBorders>
          </w:tcPr>
          <w:p w:rsidR="00D677D8" w:rsidRDefault="005964FB">
            <w:pPr>
              <w:pStyle w:val="PargrafodaLista"/>
              <w:ind w:left="0" w:right="-2" w:hanging="2"/>
              <w:jc w:val="center"/>
              <w:rPr>
                <w:b/>
                <w:bCs/>
                <w:color w:val="FF0000"/>
                <w:sz w:val="22"/>
                <w:szCs w:val="22"/>
              </w:rPr>
            </w:pPr>
            <w:r>
              <w:rPr>
                <w:b/>
                <w:bCs/>
                <w:color w:val="FF0000"/>
                <w:sz w:val="22"/>
                <w:szCs w:val="22"/>
              </w:rPr>
              <w:t>x</w:t>
            </w:r>
          </w:p>
        </w:tc>
        <w:tc>
          <w:tcPr>
            <w:tcW w:w="9060" w:type="dxa"/>
            <w:vMerge w:val="restart"/>
            <w:tcBorders>
              <w:top w:val="nil"/>
              <w:left w:val="single" w:sz="12" w:space="0" w:color="000000"/>
              <w:bottom w:val="nil"/>
              <w:right w:val="nil"/>
            </w:tcBorders>
          </w:tcPr>
          <w:p w:rsidR="00D677D8" w:rsidRDefault="005964FB">
            <w:pPr>
              <w:pStyle w:val="PargrafodaLista"/>
              <w:ind w:left="0" w:right="-2" w:hanging="2"/>
              <w:jc w:val="both"/>
              <w:rPr>
                <w:sz w:val="22"/>
                <w:szCs w:val="22"/>
              </w:rPr>
            </w:pPr>
            <w:r>
              <w:rPr>
                <w:sz w:val="22"/>
                <w:szCs w:val="22"/>
              </w:rPr>
              <w:t>Dados de pesquisa publicada em mídia especializada ou de tabela de referência formalmente apr</w:t>
            </w:r>
            <w:r>
              <w:rPr>
                <w:sz w:val="22"/>
                <w:szCs w:val="22"/>
              </w:rPr>
              <w:t>o</w:t>
            </w:r>
            <w:r>
              <w:rPr>
                <w:sz w:val="22"/>
                <w:szCs w:val="22"/>
              </w:rPr>
              <w:t>vada pelo Poder Executivo Federal; (Ex. Tabela Fipe, CMED, tabelas oficiais.)</w:t>
            </w:r>
          </w:p>
        </w:tc>
      </w:tr>
      <w:tr w:rsidR="00D677D8">
        <w:trPr>
          <w:trHeight w:val="182"/>
        </w:trPr>
        <w:tc>
          <w:tcPr>
            <w:tcW w:w="284" w:type="dxa"/>
            <w:tcBorders>
              <w:top w:val="single" w:sz="12" w:space="0" w:color="000000"/>
              <w:left w:val="nil"/>
              <w:bottom w:val="nil"/>
              <w:right w:val="nil"/>
            </w:tcBorders>
          </w:tcPr>
          <w:p w:rsidR="00D677D8" w:rsidRDefault="00D677D8">
            <w:pPr>
              <w:pStyle w:val="PargrafodaLista"/>
              <w:ind w:left="0" w:right="-2" w:hanging="2"/>
              <w:jc w:val="center"/>
              <w:rPr>
                <w:b/>
                <w:bCs/>
                <w:color w:val="FF0000"/>
                <w:sz w:val="22"/>
                <w:szCs w:val="22"/>
              </w:rPr>
            </w:pPr>
          </w:p>
        </w:tc>
        <w:tc>
          <w:tcPr>
            <w:tcW w:w="9060" w:type="dxa"/>
            <w:vMerge/>
            <w:tcBorders>
              <w:top w:val="dashSmallGap" w:sz="8" w:space="0" w:color="000000"/>
              <w:left w:val="nil"/>
              <w:bottom w:val="nil"/>
              <w:right w:val="nil"/>
            </w:tcBorders>
          </w:tcPr>
          <w:p w:rsidR="00D677D8" w:rsidRDefault="00D677D8">
            <w:pPr>
              <w:pStyle w:val="PargrafodaLista"/>
              <w:ind w:left="0" w:right="-2" w:hanging="2"/>
              <w:jc w:val="both"/>
              <w:rPr>
                <w:sz w:val="22"/>
                <w:szCs w:val="22"/>
              </w:rPr>
            </w:pPr>
          </w:p>
        </w:tc>
      </w:tr>
      <w:tr w:rsidR="00D677D8">
        <w:tc>
          <w:tcPr>
            <w:tcW w:w="284" w:type="dxa"/>
            <w:tcBorders>
              <w:top w:val="nil"/>
              <w:left w:val="nil"/>
              <w:bottom w:val="single" w:sz="12" w:space="0" w:color="000000"/>
              <w:right w:val="nil"/>
            </w:tcBorders>
          </w:tcPr>
          <w:p w:rsidR="00D677D8" w:rsidRDefault="00D677D8">
            <w:pPr>
              <w:pStyle w:val="PargrafodaLista"/>
              <w:ind w:left="0" w:right="-2" w:hanging="2"/>
              <w:jc w:val="center"/>
              <w:rPr>
                <w:b/>
                <w:bCs/>
                <w:color w:val="FF0000"/>
                <w:sz w:val="22"/>
                <w:szCs w:val="22"/>
              </w:rPr>
            </w:pPr>
          </w:p>
        </w:tc>
        <w:tc>
          <w:tcPr>
            <w:tcW w:w="9060" w:type="dxa"/>
            <w:tcBorders>
              <w:top w:val="nil"/>
              <w:left w:val="nil"/>
              <w:bottom w:val="nil"/>
              <w:right w:val="nil"/>
            </w:tcBorders>
          </w:tcPr>
          <w:p w:rsidR="00D677D8" w:rsidRDefault="00D677D8">
            <w:pPr>
              <w:pStyle w:val="PargrafodaLista"/>
              <w:ind w:left="0" w:right="-2" w:hanging="2"/>
              <w:jc w:val="both"/>
              <w:rPr>
                <w:sz w:val="22"/>
                <w:szCs w:val="22"/>
              </w:rPr>
            </w:pPr>
          </w:p>
        </w:tc>
      </w:tr>
      <w:tr w:rsidR="00D677D8">
        <w:tc>
          <w:tcPr>
            <w:tcW w:w="284" w:type="dxa"/>
            <w:tcBorders>
              <w:top w:val="single" w:sz="12" w:space="0" w:color="000000"/>
              <w:left w:val="single" w:sz="12" w:space="0" w:color="000000"/>
              <w:bottom w:val="single" w:sz="12" w:space="0" w:color="000000"/>
              <w:right w:val="single" w:sz="12" w:space="0" w:color="000000"/>
            </w:tcBorders>
          </w:tcPr>
          <w:p w:rsidR="00D677D8" w:rsidRDefault="00D677D8">
            <w:pPr>
              <w:pStyle w:val="PargrafodaLista"/>
              <w:ind w:left="0" w:right="-2" w:hanging="2"/>
              <w:jc w:val="center"/>
              <w:rPr>
                <w:b/>
                <w:bCs/>
                <w:color w:val="FF0000"/>
                <w:sz w:val="22"/>
                <w:szCs w:val="22"/>
              </w:rPr>
            </w:pPr>
          </w:p>
        </w:tc>
        <w:tc>
          <w:tcPr>
            <w:tcW w:w="9060" w:type="dxa"/>
            <w:tcBorders>
              <w:top w:val="nil"/>
              <w:left w:val="single" w:sz="12" w:space="0" w:color="000000"/>
              <w:bottom w:val="nil"/>
              <w:right w:val="nil"/>
            </w:tcBorders>
          </w:tcPr>
          <w:p w:rsidR="00D677D8" w:rsidRDefault="005964FB">
            <w:pPr>
              <w:pStyle w:val="PargrafodaLista"/>
              <w:ind w:left="0" w:right="-2" w:hanging="2"/>
              <w:jc w:val="both"/>
              <w:rPr>
                <w:sz w:val="22"/>
                <w:szCs w:val="22"/>
              </w:rPr>
            </w:pPr>
            <w:r>
              <w:rPr>
                <w:sz w:val="22"/>
                <w:szCs w:val="22"/>
              </w:rPr>
              <w:t>Sítios eletrônicos especializados ou de domínio amplo;</w:t>
            </w:r>
          </w:p>
        </w:tc>
      </w:tr>
      <w:tr w:rsidR="00D677D8">
        <w:tc>
          <w:tcPr>
            <w:tcW w:w="284" w:type="dxa"/>
            <w:tcBorders>
              <w:top w:val="single" w:sz="12" w:space="0" w:color="000000"/>
              <w:left w:val="nil"/>
              <w:bottom w:val="single" w:sz="12" w:space="0" w:color="000000"/>
              <w:right w:val="nil"/>
            </w:tcBorders>
          </w:tcPr>
          <w:p w:rsidR="00D677D8" w:rsidRDefault="00D677D8">
            <w:pPr>
              <w:pStyle w:val="PargrafodaLista"/>
              <w:ind w:left="0" w:right="-2" w:hanging="2"/>
              <w:jc w:val="center"/>
              <w:rPr>
                <w:b/>
                <w:bCs/>
                <w:color w:val="FF0000"/>
                <w:sz w:val="22"/>
                <w:szCs w:val="22"/>
              </w:rPr>
            </w:pPr>
          </w:p>
        </w:tc>
        <w:tc>
          <w:tcPr>
            <w:tcW w:w="9060" w:type="dxa"/>
            <w:tcBorders>
              <w:top w:val="nil"/>
              <w:left w:val="nil"/>
              <w:bottom w:val="nil"/>
              <w:right w:val="nil"/>
            </w:tcBorders>
          </w:tcPr>
          <w:p w:rsidR="00D677D8" w:rsidRDefault="00D677D8">
            <w:pPr>
              <w:pStyle w:val="PargrafodaLista"/>
              <w:ind w:left="0" w:right="-2" w:hanging="2"/>
              <w:jc w:val="both"/>
              <w:rPr>
                <w:sz w:val="22"/>
                <w:szCs w:val="22"/>
              </w:rPr>
            </w:pPr>
          </w:p>
        </w:tc>
      </w:tr>
      <w:tr w:rsidR="00D677D8">
        <w:trPr>
          <w:trHeight w:val="183"/>
        </w:trPr>
        <w:tc>
          <w:tcPr>
            <w:tcW w:w="284" w:type="dxa"/>
            <w:tcBorders>
              <w:top w:val="single" w:sz="12" w:space="0" w:color="000000"/>
              <w:left w:val="single" w:sz="12" w:space="0" w:color="000000"/>
              <w:bottom w:val="single" w:sz="12" w:space="0" w:color="000000"/>
              <w:right w:val="single" w:sz="12" w:space="0" w:color="000000"/>
            </w:tcBorders>
          </w:tcPr>
          <w:p w:rsidR="00D677D8" w:rsidRDefault="005964FB">
            <w:pPr>
              <w:pStyle w:val="PargrafodaLista"/>
              <w:ind w:left="0" w:right="-2" w:hanging="2"/>
              <w:jc w:val="center"/>
              <w:rPr>
                <w:b/>
                <w:bCs/>
                <w:color w:val="FF0000"/>
                <w:sz w:val="22"/>
                <w:szCs w:val="22"/>
              </w:rPr>
            </w:pPr>
            <w:r>
              <w:rPr>
                <w:b/>
                <w:bCs/>
                <w:color w:val="FF0000"/>
                <w:sz w:val="22"/>
                <w:szCs w:val="22"/>
              </w:rPr>
              <w:t>x</w:t>
            </w:r>
          </w:p>
        </w:tc>
        <w:tc>
          <w:tcPr>
            <w:tcW w:w="9060" w:type="dxa"/>
            <w:vMerge w:val="restart"/>
            <w:tcBorders>
              <w:top w:val="nil"/>
              <w:left w:val="single" w:sz="12" w:space="0" w:color="000000"/>
              <w:bottom w:val="nil"/>
              <w:right w:val="nil"/>
            </w:tcBorders>
          </w:tcPr>
          <w:p w:rsidR="00D677D8" w:rsidRDefault="005964FB">
            <w:pPr>
              <w:pStyle w:val="PargrafodaLista"/>
              <w:ind w:left="0" w:right="-2" w:hanging="2"/>
              <w:jc w:val="both"/>
              <w:rPr>
                <w:sz w:val="22"/>
                <w:szCs w:val="22"/>
              </w:rPr>
            </w:pPr>
            <w:r>
              <w:rPr>
                <w:sz w:val="22"/>
                <w:szCs w:val="22"/>
              </w:rPr>
              <w:t>Pesquisa direta com, no mínimo, 3 (três) fornecedores, mediante solicitação formal de cotação, por meio de ofício ou e-mail;</w:t>
            </w:r>
          </w:p>
        </w:tc>
      </w:tr>
      <w:tr w:rsidR="00D677D8">
        <w:trPr>
          <w:trHeight w:val="182"/>
        </w:trPr>
        <w:tc>
          <w:tcPr>
            <w:tcW w:w="284" w:type="dxa"/>
            <w:tcBorders>
              <w:top w:val="single" w:sz="12" w:space="0" w:color="000000"/>
              <w:left w:val="nil"/>
              <w:bottom w:val="nil"/>
              <w:right w:val="nil"/>
            </w:tcBorders>
          </w:tcPr>
          <w:p w:rsidR="00D677D8" w:rsidRDefault="00D677D8">
            <w:pPr>
              <w:pStyle w:val="PargrafodaLista"/>
              <w:ind w:left="0" w:right="-2" w:hanging="2"/>
              <w:jc w:val="center"/>
              <w:rPr>
                <w:b/>
                <w:bCs/>
                <w:color w:val="FF0000"/>
                <w:sz w:val="22"/>
                <w:szCs w:val="22"/>
              </w:rPr>
            </w:pPr>
          </w:p>
        </w:tc>
        <w:tc>
          <w:tcPr>
            <w:tcW w:w="9060" w:type="dxa"/>
            <w:vMerge/>
            <w:tcBorders>
              <w:top w:val="dashSmallGap" w:sz="8" w:space="0" w:color="000000"/>
              <w:left w:val="nil"/>
              <w:bottom w:val="nil"/>
              <w:right w:val="nil"/>
            </w:tcBorders>
          </w:tcPr>
          <w:p w:rsidR="00D677D8" w:rsidRDefault="00D677D8">
            <w:pPr>
              <w:pStyle w:val="PargrafodaLista"/>
              <w:ind w:left="0" w:right="-2" w:hanging="2"/>
              <w:jc w:val="both"/>
              <w:rPr>
                <w:sz w:val="22"/>
                <w:szCs w:val="22"/>
              </w:rPr>
            </w:pPr>
          </w:p>
        </w:tc>
      </w:tr>
      <w:tr w:rsidR="00D677D8">
        <w:tc>
          <w:tcPr>
            <w:tcW w:w="284" w:type="dxa"/>
            <w:tcBorders>
              <w:top w:val="nil"/>
              <w:left w:val="nil"/>
              <w:bottom w:val="single" w:sz="12" w:space="0" w:color="000000"/>
              <w:right w:val="nil"/>
            </w:tcBorders>
          </w:tcPr>
          <w:p w:rsidR="00D677D8" w:rsidRDefault="00D677D8">
            <w:pPr>
              <w:pStyle w:val="PargrafodaLista"/>
              <w:ind w:left="0" w:right="-2" w:hanging="2"/>
              <w:jc w:val="center"/>
              <w:rPr>
                <w:b/>
                <w:bCs/>
                <w:color w:val="FF0000"/>
                <w:sz w:val="22"/>
                <w:szCs w:val="22"/>
              </w:rPr>
            </w:pPr>
          </w:p>
        </w:tc>
        <w:tc>
          <w:tcPr>
            <w:tcW w:w="9060" w:type="dxa"/>
            <w:tcBorders>
              <w:top w:val="nil"/>
              <w:left w:val="nil"/>
              <w:bottom w:val="nil"/>
              <w:right w:val="nil"/>
            </w:tcBorders>
          </w:tcPr>
          <w:p w:rsidR="00D677D8" w:rsidRDefault="00D677D8">
            <w:pPr>
              <w:pStyle w:val="PargrafodaLista"/>
              <w:ind w:left="0" w:right="-2" w:hanging="2"/>
              <w:jc w:val="both"/>
              <w:rPr>
                <w:sz w:val="22"/>
                <w:szCs w:val="22"/>
              </w:rPr>
            </w:pPr>
          </w:p>
        </w:tc>
      </w:tr>
      <w:tr w:rsidR="00D677D8">
        <w:tc>
          <w:tcPr>
            <w:tcW w:w="284" w:type="dxa"/>
            <w:tcBorders>
              <w:top w:val="single" w:sz="12" w:space="0" w:color="000000"/>
              <w:left w:val="single" w:sz="12" w:space="0" w:color="000000"/>
              <w:bottom w:val="single" w:sz="12" w:space="0" w:color="000000"/>
              <w:right w:val="single" w:sz="12" w:space="0" w:color="000000"/>
            </w:tcBorders>
          </w:tcPr>
          <w:p w:rsidR="00D677D8" w:rsidRDefault="00D677D8">
            <w:pPr>
              <w:pStyle w:val="PargrafodaLista"/>
              <w:ind w:left="0" w:right="-2" w:hanging="2"/>
              <w:jc w:val="center"/>
              <w:rPr>
                <w:b/>
                <w:bCs/>
                <w:color w:val="FF0000"/>
                <w:sz w:val="22"/>
                <w:szCs w:val="22"/>
              </w:rPr>
            </w:pPr>
          </w:p>
        </w:tc>
        <w:tc>
          <w:tcPr>
            <w:tcW w:w="9060" w:type="dxa"/>
            <w:tcBorders>
              <w:top w:val="nil"/>
              <w:left w:val="single" w:sz="12" w:space="0" w:color="000000"/>
              <w:bottom w:val="nil"/>
              <w:right w:val="nil"/>
            </w:tcBorders>
          </w:tcPr>
          <w:p w:rsidR="00D677D8" w:rsidRDefault="005964FB">
            <w:pPr>
              <w:pStyle w:val="PargrafodaLista"/>
              <w:ind w:left="0" w:right="-2" w:hanging="2"/>
              <w:jc w:val="both"/>
              <w:rPr>
                <w:sz w:val="22"/>
                <w:szCs w:val="22"/>
              </w:rPr>
            </w:pPr>
            <w:r>
              <w:rPr>
                <w:sz w:val="22"/>
                <w:szCs w:val="22"/>
              </w:rPr>
              <w:t>Pesquisa através de notas fiscais eletrônicas emitidas em características similares;</w:t>
            </w:r>
          </w:p>
        </w:tc>
      </w:tr>
      <w:tr w:rsidR="00D677D8">
        <w:tc>
          <w:tcPr>
            <w:tcW w:w="284" w:type="dxa"/>
            <w:tcBorders>
              <w:top w:val="single" w:sz="12" w:space="0" w:color="000000"/>
              <w:left w:val="nil"/>
              <w:bottom w:val="single" w:sz="12" w:space="0" w:color="000000"/>
              <w:right w:val="nil"/>
            </w:tcBorders>
          </w:tcPr>
          <w:p w:rsidR="00D677D8" w:rsidRDefault="00D677D8">
            <w:pPr>
              <w:pStyle w:val="PargrafodaLista"/>
              <w:ind w:left="0" w:right="-2" w:hanging="2"/>
              <w:jc w:val="center"/>
              <w:rPr>
                <w:b/>
                <w:bCs/>
                <w:color w:val="FF0000"/>
                <w:sz w:val="22"/>
                <w:szCs w:val="22"/>
              </w:rPr>
            </w:pPr>
          </w:p>
        </w:tc>
        <w:tc>
          <w:tcPr>
            <w:tcW w:w="9060" w:type="dxa"/>
            <w:tcBorders>
              <w:top w:val="nil"/>
              <w:left w:val="nil"/>
              <w:bottom w:val="nil"/>
              <w:right w:val="nil"/>
            </w:tcBorders>
          </w:tcPr>
          <w:p w:rsidR="00D677D8" w:rsidRDefault="00D677D8">
            <w:pPr>
              <w:pStyle w:val="PargrafodaLista"/>
              <w:ind w:left="0" w:right="-2" w:hanging="2"/>
              <w:jc w:val="both"/>
              <w:rPr>
                <w:sz w:val="22"/>
                <w:szCs w:val="22"/>
              </w:rPr>
            </w:pPr>
          </w:p>
        </w:tc>
      </w:tr>
      <w:tr w:rsidR="00D677D8">
        <w:tc>
          <w:tcPr>
            <w:tcW w:w="284" w:type="dxa"/>
            <w:tcBorders>
              <w:top w:val="single" w:sz="12" w:space="0" w:color="000000"/>
              <w:left w:val="single" w:sz="12" w:space="0" w:color="000000"/>
              <w:bottom w:val="single" w:sz="12" w:space="0" w:color="000000"/>
              <w:right w:val="single" w:sz="12" w:space="0" w:color="000000"/>
            </w:tcBorders>
          </w:tcPr>
          <w:p w:rsidR="00D677D8" w:rsidRDefault="00D677D8">
            <w:pPr>
              <w:pStyle w:val="PargrafodaLista"/>
              <w:ind w:left="0" w:right="-2" w:hanging="2"/>
              <w:jc w:val="center"/>
              <w:rPr>
                <w:b/>
                <w:bCs/>
                <w:color w:val="000000"/>
                <w:sz w:val="22"/>
                <w:szCs w:val="22"/>
              </w:rPr>
            </w:pPr>
          </w:p>
        </w:tc>
        <w:tc>
          <w:tcPr>
            <w:tcW w:w="9060" w:type="dxa"/>
            <w:tcBorders>
              <w:top w:val="nil"/>
              <w:left w:val="single" w:sz="12" w:space="0" w:color="000000"/>
              <w:bottom w:val="nil"/>
              <w:right w:val="nil"/>
            </w:tcBorders>
          </w:tcPr>
          <w:p w:rsidR="00D677D8" w:rsidRDefault="005964FB">
            <w:pPr>
              <w:pStyle w:val="PargrafodaLista"/>
              <w:ind w:left="0" w:right="-2" w:hanging="2"/>
              <w:jc w:val="both"/>
              <w:rPr>
                <w:color w:val="000000"/>
              </w:rPr>
            </w:pPr>
            <w:r>
              <w:rPr>
                <w:color w:val="000000"/>
                <w:sz w:val="22"/>
                <w:szCs w:val="22"/>
              </w:rPr>
              <w:t xml:space="preserve">Outros:  </w:t>
            </w:r>
            <w:r>
              <w:rPr>
                <w:b/>
                <w:bCs/>
                <w:color w:val="000000"/>
                <w:sz w:val="22"/>
                <w:szCs w:val="22"/>
              </w:rPr>
              <w:t>MP 1.108/2022 e Lei 14.442/2022</w:t>
            </w:r>
          </w:p>
        </w:tc>
      </w:tr>
    </w:tbl>
    <w:p w:rsidR="00D677D8" w:rsidRDefault="00D677D8">
      <w:pPr>
        <w:pStyle w:val="PargrafodaLista"/>
        <w:ind w:left="0" w:right="-2" w:hanging="2"/>
        <w:jc w:val="both"/>
        <w:rPr>
          <w:color w:val="FF0000"/>
          <w:sz w:val="22"/>
          <w:szCs w:val="22"/>
          <w:u w:val="single"/>
        </w:rPr>
      </w:pPr>
    </w:p>
    <w:p w:rsidR="00D677D8" w:rsidRPr="00067C7C" w:rsidRDefault="005964FB" w:rsidP="00067C7C">
      <w:pPr>
        <w:pStyle w:val="PargrafodaLista"/>
        <w:numPr>
          <w:ilvl w:val="0"/>
          <w:numId w:val="4"/>
        </w:numPr>
        <w:pBdr>
          <w:top w:val="single" w:sz="12" w:space="1" w:color="000000"/>
          <w:left w:val="single" w:sz="12" w:space="4" w:color="000000"/>
          <w:bottom w:val="single" w:sz="12" w:space="1" w:color="000000"/>
          <w:right w:val="single" w:sz="12" w:space="4" w:color="000000"/>
        </w:pBdr>
        <w:shd w:val="clear" w:color="auto" w:fill="C6D9F1" w:themeFill="text2" w:themeFillTint="33"/>
        <w:tabs>
          <w:tab w:val="left" w:pos="284"/>
        </w:tabs>
        <w:ind w:left="0" w:right="-2" w:hanging="2"/>
        <w:jc w:val="both"/>
        <w:rPr>
          <w:sz w:val="22"/>
          <w:szCs w:val="22"/>
        </w:rPr>
      </w:pPr>
      <w:r>
        <w:rPr>
          <w:b/>
          <w:bCs/>
          <w:sz w:val="22"/>
          <w:szCs w:val="22"/>
        </w:rPr>
        <w:t>Escolha da solução (consequência dos incisos V e VI do §1º do art. 15 do Decreto nº 3.537/2023):</w:t>
      </w:r>
    </w:p>
    <w:p w:rsidR="00067C7C" w:rsidRDefault="00067C7C">
      <w:pPr>
        <w:ind w:right="-2" w:hanging="2"/>
        <w:jc w:val="both"/>
        <w:rPr>
          <w:color w:val="000000" w:themeColor="text1"/>
          <w:sz w:val="22"/>
          <w:szCs w:val="22"/>
        </w:rPr>
      </w:pPr>
    </w:p>
    <w:p w:rsidR="00067C7C" w:rsidRPr="00067C7C" w:rsidRDefault="00067C7C" w:rsidP="00067C7C">
      <w:pPr>
        <w:ind w:right="-2" w:hanging="2"/>
        <w:jc w:val="both"/>
        <w:rPr>
          <w:color w:val="000000" w:themeColor="text1"/>
          <w:sz w:val="22"/>
          <w:szCs w:val="22"/>
        </w:rPr>
      </w:pPr>
      <w:r w:rsidRPr="00067C7C">
        <w:rPr>
          <w:color w:val="000000" w:themeColor="text1"/>
          <w:sz w:val="22"/>
          <w:szCs w:val="22"/>
        </w:rPr>
        <w:t>Após a análise das alternativas disponíveis, concluiu-se que a realização de Pregão Eletrônico, com crit</w:t>
      </w:r>
      <w:r w:rsidRPr="00067C7C">
        <w:rPr>
          <w:color w:val="000000" w:themeColor="text1"/>
          <w:sz w:val="22"/>
          <w:szCs w:val="22"/>
        </w:rPr>
        <w:t>é</w:t>
      </w:r>
      <w:r w:rsidRPr="00067C7C">
        <w:rPr>
          <w:color w:val="000000" w:themeColor="text1"/>
          <w:sz w:val="22"/>
          <w:szCs w:val="22"/>
        </w:rPr>
        <w:t>rio de julgamento pelo menor preço, configura-se como a solução mais adequada para a aquisição da pá carregadeira sobre rodas, nova, zero hora, objeto do Convênio nº 160/2025 – SEAB. Essa escolha revela-se tecnicamente apropriada, pois garante ao Município plena autonomia na definição das especificações do equipamento, respeitando as diretrizes estabelecidas no convênio e assegurando requisitos compatíveis com a realidade operacional local, como potência mínima do motor, peso operacional adequado, cabine climatizada com certificações de segurança ROPS/FOPS, garantia estendida e assistência técnica dispon</w:t>
      </w:r>
      <w:r w:rsidRPr="00067C7C">
        <w:rPr>
          <w:color w:val="000000" w:themeColor="text1"/>
          <w:sz w:val="22"/>
          <w:szCs w:val="22"/>
        </w:rPr>
        <w:t>í</w:t>
      </w:r>
      <w:r w:rsidRPr="00067C7C">
        <w:rPr>
          <w:color w:val="000000" w:themeColor="text1"/>
          <w:sz w:val="22"/>
          <w:szCs w:val="22"/>
        </w:rPr>
        <w:t>vel na região. A adoção dessa modalidade ainda possibilita a plena padronização das características do bem, garantindo que o maquinário adquirido atenda integralmente às demandas da Secretaria Municipal de Agricultura e Pecuária.</w:t>
      </w:r>
    </w:p>
    <w:p w:rsidR="00067C7C" w:rsidRPr="00067C7C" w:rsidRDefault="00067C7C" w:rsidP="00067C7C">
      <w:pPr>
        <w:ind w:right="-2" w:hanging="2"/>
        <w:jc w:val="both"/>
        <w:rPr>
          <w:color w:val="000000" w:themeColor="text1"/>
          <w:sz w:val="22"/>
          <w:szCs w:val="22"/>
        </w:rPr>
      </w:pPr>
    </w:p>
    <w:p w:rsidR="00067C7C" w:rsidRPr="00067C7C" w:rsidRDefault="00067C7C" w:rsidP="00067C7C">
      <w:pPr>
        <w:ind w:right="-2" w:hanging="2"/>
        <w:jc w:val="both"/>
        <w:rPr>
          <w:color w:val="000000" w:themeColor="text1"/>
          <w:sz w:val="22"/>
          <w:szCs w:val="22"/>
        </w:rPr>
      </w:pPr>
      <w:r w:rsidRPr="00067C7C">
        <w:rPr>
          <w:color w:val="000000" w:themeColor="text1"/>
          <w:sz w:val="22"/>
          <w:szCs w:val="22"/>
        </w:rPr>
        <w:t xml:space="preserve">Sob o ponto de vista econômico, a licitação fomenta a competitividade entre fornecedores, estimulando a apresentação de propostas mais vantajosas do que a mediana de mercado apurada na pesquisa de preços, o que assegura economicidade, transparência e melhor aproveitamento dos recursos públicos. Além disso, </w:t>
      </w:r>
      <w:r w:rsidRPr="00067C7C">
        <w:rPr>
          <w:color w:val="000000" w:themeColor="text1"/>
          <w:sz w:val="22"/>
          <w:szCs w:val="22"/>
        </w:rPr>
        <w:lastRenderedPageBreak/>
        <w:t>elimina os riscos de sobrepreço e de dependência contratual de terceiros, como ocorreria em eventual adesão a atas de registro de preços.</w:t>
      </w:r>
    </w:p>
    <w:p w:rsidR="00067C7C" w:rsidRPr="00067C7C" w:rsidRDefault="00067C7C" w:rsidP="00067C7C">
      <w:pPr>
        <w:ind w:right="-2" w:hanging="2"/>
        <w:jc w:val="both"/>
        <w:rPr>
          <w:color w:val="000000" w:themeColor="text1"/>
          <w:sz w:val="22"/>
          <w:szCs w:val="22"/>
        </w:rPr>
      </w:pPr>
    </w:p>
    <w:p w:rsidR="00067C7C" w:rsidRPr="00067C7C" w:rsidRDefault="00067C7C" w:rsidP="00067C7C">
      <w:pPr>
        <w:ind w:right="-2" w:hanging="2"/>
        <w:jc w:val="both"/>
        <w:rPr>
          <w:color w:val="000000" w:themeColor="text1"/>
          <w:sz w:val="22"/>
          <w:szCs w:val="22"/>
        </w:rPr>
      </w:pPr>
      <w:r w:rsidRPr="00067C7C">
        <w:rPr>
          <w:color w:val="000000" w:themeColor="text1"/>
          <w:sz w:val="22"/>
          <w:szCs w:val="22"/>
        </w:rPr>
        <w:t xml:space="preserve">Do ponto de vista jurídico, a solução encontra respaldo nos arts. 17 a 27 e no art. 28, inciso II, da Lei nº 14.133/2021, que </w:t>
      </w:r>
      <w:r w:rsidR="00FE3A6B" w:rsidRPr="00067C7C">
        <w:rPr>
          <w:color w:val="000000" w:themeColor="text1"/>
          <w:sz w:val="22"/>
          <w:szCs w:val="22"/>
        </w:rPr>
        <w:t>prevêem</w:t>
      </w:r>
      <w:r w:rsidRPr="00067C7C">
        <w:rPr>
          <w:color w:val="000000" w:themeColor="text1"/>
          <w:sz w:val="22"/>
          <w:szCs w:val="22"/>
        </w:rPr>
        <w:t xml:space="preserve"> a utilização do Pregão Eletrônico para a aquisição de bens e serviços comuns, bem como no art. 18, §1º, que impõe à Administração a análise comparativa das alternativas disponíveis e a seleção da solução mais vantajosa. Trata-se, portanto, da modalidade que melhor concretiza os princ</w:t>
      </w:r>
      <w:r w:rsidRPr="00067C7C">
        <w:rPr>
          <w:color w:val="000000" w:themeColor="text1"/>
          <w:sz w:val="22"/>
          <w:szCs w:val="22"/>
        </w:rPr>
        <w:t>í</w:t>
      </w:r>
      <w:r w:rsidRPr="00067C7C">
        <w:rPr>
          <w:color w:val="000000" w:themeColor="text1"/>
          <w:sz w:val="22"/>
          <w:szCs w:val="22"/>
        </w:rPr>
        <w:t>pios da legalidade, publicidade, eficiência, competitividade e supremacia do interesse público.</w:t>
      </w:r>
    </w:p>
    <w:p w:rsidR="00067C7C" w:rsidRPr="00067C7C" w:rsidRDefault="00067C7C" w:rsidP="00067C7C">
      <w:pPr>
        <w:ind w:right="-2" w:hanging="2"/>
        <w:jc w:val="both"/>
        <w:rPr>
          <w:color w:val="000000" w:themeColor="text1"/>
          <w:sz w:val="22"/>
          <w:szCs w:val="22"/>
        </w:rPr>
      </w:pPr>
    </w:p>
    <w:p w:rsidR="00067C7C" w:rsidRPr="00067C7C" w:rsidRDefault="00067C7C" w:rsidP="00067C7C">
      <w:pPr>
        <w:ind w:right="-2" w:hanging="2"/>
        <w:jc w:val="both"/>
        <w:rPr>
          <w:color w:val="000000" w:themeColor="text1"/>
          <w:sz w:val="22"/>
          <w:szCs w:val="22"/>
        </w:rPr>
      </w:pPr>
      <w:r w:rsidRPr="00067C7C">
        <w:rPr>
          <w:color w:val="000000" w:themeColor="text1"/>
          <w:sz w:val="22"/>
          <w:szCs w:val="22"/>
        </w:rPr>
        <w:t>Por fim, o Pregão Eletrônico, por ser conduzido em ambiente digital, auditável e amplamente acessível, confere maior celeridade processual e reforça as práticas de governança e transparência administrativa, reduzindo custos indiretos e assegurando ampla competitividade.</w:t>
      </w:r>
    </w:p>
    <w:p w:rsidR="00067C7C" w:rsidRPr="00067C7C" w:rsidRDefault="00067C7C" w:rsidP="00067C7C">
      <w:pPr>
        <w:ind w:right="-2" w:hanging="2"/>
        <w:jc w:val="both"/>
        <w:rPr>
          <w:color w:val="000000" w:themeColor="text1"/>
          <w:sz w:val="22"/>
          <w:szCs w:val="22"/>
        </w:rPr>
      </w:pPr>
    </w:p>
    <w:p w:rsidR="00067C7C" w:rsidRDefault="00067C7C" w:rsidP="00067C7C">
      <w:pPr>
        <w:ind w:right="-2" w:hanging="2"/>
        <w:jc w:val="both"/>
        <w:rPr>
          <w:color w:val="000000" w:themeColor="text1"/>
          <w:sz w:val="22"/>
          <w:szCs w:val="22"/>
        </w:rPr>
      </w:pPr>
      <w:r w:rsidRPr="00067C7C">
        <w:rPr>
          <w:color w:val="000000" w:themeColor="text1"/>
          <w:sz w:val="22"/>
          <w:szCs w:val="22"/>
        </w:rPr>
        <w:t>Assim, diante da inexistência de ata de registro de preços compatível, da necessidade de garantir especif</w:t>
      </w:r>
      <w:r w:rsidRPr="00067C7C">
        <w:rPr>
          <w:color w:val="000000" w:themeColor="text1"/>
          <w:sz w:val="22"/>
          <w:szCs w:val="22"/>
        </w:rPr>
        <w:t>i</w:t>
      </w:r>
      <w:r w:rsidRPr="00067C7C">
        <w:rPr>
          <w:color w:val="000000" w:themeColor="text1"/>
          <w:sz w:val="22"/>
          <w:szCs w:val="22"/>
        </w:rPr>
        <w:t>cações técnicas adequadas, da busca pela vantajosidade econômica e da segurança jurídica exigida para a correta execução do Convênio nº 160/2025 – SEAB, conclui-se que o Pregão Eletrônico constitui a sol</w:t>
      </w:r>
      <w:r w:rsidRPr="00067C7C">
        <w:rPr>
          <w:color w:val="000000" w:themeColor="text1"/>
          <w:sz w:val="22"/>
          <w:szCs w:val="22"/>
        </w:rPr>
        <w:t>u</w:t>
      </w:r>
      <w:r w:rsidRPr="00067C7C">
        <w:rPr>
          <w:color w:val="000000" w:themeColor="text1"/>
          <w:sz w:val="22"/>
          <w:szCs w:val="22"/>
        </w:rPr>
        <w:t>ção mais eficiente, transparente e vantajosa para o Município de Bandeirantes/PR, viabilizando a aquis</w:t>
      </w:r>
      <w:r w:rsidRPr="00067C7C">
        <w:rPr>
          <w:color w:val="000000" w:themeColor="text1"/>
          <w:sz w:val="22"/>
          <w:szCs w:val="22"/>
        </w:rPr>
        <w:t>i</w:t>
      </w:r>
      <w:r w:rsidRPr="00067C7C">
        <w:rPr>
          <w:color w:val="000000" w:themeColor="text1"/>
          <w:sz w:val="22"/>
          <w:szCs w:val="22"/>
        </w:rPr>
        <w:t>ção pretendida e assegurando o atendimento integral às demandas da agricultura familiar e da infraestr</w:t>
      </w:r>
      <w:r w:rsidRPr="00067C7C">
        <w:rPr>
          <w:color w:val="000000" w:themeColor="text1"/>
          <w:sz w:val="22"/>
          <w:szCs w:val="22"/>
        </w:rPr>
        <w:t>u</w:t>
      </w:r>
      <w:r w:rsidRPr="00067C7C">
        <w:rPr>
          <w:color w:val="000000" w:themeColor="text1"/>
          <w:sz w:val="22"/>
          <w:szCs w:val="22"/>
        </w:rPr>
        <w:t>tura rural.</w:t>
      </w:r>
    </w:p>
    <w:p w:rsidR="00067C7C" w:rsidRDefault="00067C7C">
      <w:pPr>
        <w:ind w:right="-2" w:hanging="2"/>
        <w:jc w:val="both"/>
        <w:rPr>
          <w:color w:val="000000" w:themeColor="text1"/>
          <w:sz w:val="22"/>
          <w:szCs w:val="22"/>
        </w:rPr>
      </w:pPr>
    </w:p>
    <w:p w:rsidR="00D677D8" w:rsidRDefault="005964FB">
      <w:pPr>
        <w:ind w:right="-2" w:hanging="2"/>
        <w:jc w:val="both"/>
        <w:rPr>
          <w:sz w:val="22"/>
          <w:szCs w:val="22"/>
        </w:rPr>
      </w:pPr>
      <w:r>
        <w:rPr>
          <w:b/>
          <w:sz w:val="22"/>
          <w:szCs w:val="22"/>
        </w:rPr>
        <w:t xml:space="preserve">3.1. LEGISLAÇÃO APLICÁVEL CONTRATAÇÃO: </w:t>
      </w:r>
    </w:p>
    <w:tbl>
      <w:tblPr>
        <w:tblW w:w="5000" w:type="pct"/>
        <w:tblLayout w:type="fixed"/>
        <w:tblCellMar>
          <w:left w:w="70" w:type="dxa"/>
          <w:right w:w="70" w:type="dxa"/>
        </w:tblCellMar>
        <w:tblLook w:val="04A0"/>
      </w:tblPr>
      <w:tblGrid>
        <w:gridCol w:w="273"/>
        <w:gridCol w:w="9221"/>
      </w:tblGrid>
      <w:tr w:rsidR="00D677D8">
        <w:trPr>
          <w:trHeight w:val="217"/>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rsidR="00D677D8" w:rsidRDefault="00D677D8">
            <w:pPr>
              <w:ind w:right="-2" w:hanging="2"/>
              <w:jc w:val="center"/>
              <w:rPr>
                <w:b/>
                <w:bCs/>
                <w:color w:val="000000"/>
                <w:sz w:val="22"/>
                <w:szCs w:val="22"/>
              </w:rPr>
            </w:pPr>
          </w:p>
        </w:tc>
        <w:tc>
          <w:tcPr>
            <w:tcW w:w="9084" w:type="dxa"/>
            <w:vMerge w:val="restart"/>
            <w:tcBorders>
              <w:left w:val="single" w:sz="12" w:space="0" w:color="000000"/>
            </w:tcBorders>
            <w:shd w:val="clear" w:color="auto" w:fill="auto"/>
            <w:vAlign w:val="bottom"/>
          </w:tcPr>
          <w:p w:rsidR="00D677D8" w:rsidRDefault="005964FB">
            <w:pPr>
              <w:ind w:right="-2" w:hanging="2"/>
              <w:jc w:val="both"/>
            </w:pPr>
            <w:r>
              <w:rPr>
                <w:color w:val="000000"/>
                <w:sz w:val="22"/>
                <w:szCs w:val="22"/>
              </w:rPr>
              <w:t>A Solicitação de Demanda não indicou e esta equipe não localizou nos estudos, nenhum normativo específico referente ao objeto estudado.</w:t>
            </w:r>
          </w:p>
        </w:tc>
      </w:tr>
      <w:tr w:rsidR="00D677D8">
        <w:trPr>
          <w:trHeight w:val="157"/>
        </w:trPr>
        <w:tc>
          <w:tcPr>
            <w:tcW w:w="269" w:type="dxa"/>
            <w:tcBorders>
              <w:top w:val="single" w:sz="12" w:space="0" w:color="000000"/>
            </w:tcBorders>
            <w:shd w:val="clear" w:color="auto" w:fill="auto"/>
          </w:tcPr>
          <w:p w:rsidR="00D677D8" w:rsidRDefault="00D677D8">
            <w:pPr>
              <w:ind w:right="-2" w:hanging="2"/>
              <w:jc w:val="both"/>
              <w:rPr>
                <w:sz w:val="22"/>
                <w:szCs w:val="22"/>
              </w:rPr>
            </w:pPr>
          </w:p>
        </w:tc>
        <w:tc>
          <w:tcPr>
            <w:tcW w:w="9084" w:type="dxa"/>
            <w:vMerge/>
            <w:shd w:val="clear" w:color="auto" w:fill="auto"/>
            <w:vAlign w:val="bottom"/>
          </w:tcPr>
          <w:p w:rsidR="00D677D8" w:rsidRDefault="00D677D8">
            <w:pPr>
              <w:ind w:right="-2" w:hanging="2"/>
              <w:jc w:val="both"/>
              <w:rPr>
                <w:color w:val="000000"/>
                <w:sz w:val="22"/>
                <w:szCs w:val="22"/>
              </w:rPr>
            </w:pPr>
          </w:p>
        </w:tc>
      </w:tr>
      <w:tr w:rsidR="00D677D8">
        <w:trPr>
          <w:trHeight w:val="157"/>
        </w:trPr>
        <w:tc>
          <w:tcPr>
            <w:tcW w:w="269" w:type="dxa"/>
            <w:tcBorders>
              <w:bottom w:val="single" w:sz="12" w:space="0" w:color="000000"/>
            </w:tcBorders>
            <w:shd w:val="clear" w:color="auto" w:fill="auto"/>
          </w:tcPr>
          <w:p w:rsidR="00D677D8" w:rsidRDefault="00D677D8">
            <w:pPr>
              <w:ind w:right="-2" w:hanging="2"/>
              <w:jc w:val="both"/>
              <w:rPr>
                <w:sz w:val="22"/>
                <w:szCs w:val="22"/>
              </w:rPr>
            </w:pPr>
          </w:p>
        </w:tc>
        <w:tc>
          <w:tcPr>
            <w:tcW w:w="9084" w:type="dxa"/>
            <w:shd w:val="clear" w:color="auto" w:fill="auto"/>
            <w:vAlign w:val="bottom"/>
          </w:tcPr>
          <w:p w:rsidR="00D677D8" w:rsidRDefault="00D677D8">
            <w:pPr>
              <w:ind w:right="-2" w:hanging="2"/>
              <w:jc w:val="both"/>
              <w:rPr>
                <w:color w:val="000000"/>
                <w:sz w:val="22"/>
                <w:szCs w:val="22"/>
              </w:rPr>
            </w:pPr>
          </w:p>
        </w:tc>
      </w:tr>
      <w:tr w:rsidR="00D677D8">
        <w:trPr>
          <w:trHeight w:val="229"/>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rsidR="00D677D8" w:rsidRDefault="005964FB">
            <w:pPr>
              <w:ind w:right="-2" w:hanging="2"/>
              <w:jc w:val="center"/>
            </w:pPr>
            <w:r>
              <w:rPr>
                <w:b/>
                <w:bCs/>
                <w:color w:val="FF0000"/>
                <w:sz w:val="22"/>
                <w:szCs w:val="22"/>
              </w:rPr>
              <w:t>X</w:t>
            </w:r>
          </w:p>
        </w:tc>
        <w:tc>
          <w:tcPr>
            <w:tcW w:w="9084" w:type="dxa"/>
            <w:vMerge w:val="restart"/>
            <w:tcBorders>
              <w:left w:val="single" w:sz="12" w:space="0" w:color="000000"/>
            </w:tcBorders>
            <w:shd w:val="clear" w:color="auto" w:fill="auto"/>
            <w:vAlign w:val="bottom"/>
          </w:tcPr>
          <w:p w:rsidR="00D677D8" w:rsidRDefault="005964FB">
            <w:pPr>
              <w:ind w:right="-2"/>
              <w:jc w:val="both"/>
            </w:pPr>
            <w:r>
              <w:rPr>
                <w:color w:val="000000"/>
                <w:sz w:val="22"/>
                <w:szCs w:val="22"/>
              </w:rPr>
              <w:t>Foram localizados normativos acerca do objeto estudado, e estes estão sendo considerados no presente estudo:</w:t>
            </w:r>
          </w:p>
        </w:tc>
      </w:tr>
      <w:tr w:rsidR="00D677D8">
        <w:trPr>
          <w:trHeight w:val="202"/>
        </w:trPr>
        <w:tc>
          <w:tcPr>
            <w:tcW w:w="269" w:type="dxa"/>
            <w:tcBorders>
              <w:top w:val="single" w:sz="12" w:space="0" w:color="000000"/>
            </w:tcBorders>
            <w:shd w:val="clear" w:color="auto" w:fill="auto"/>
          </w:tcPr>
          <w:p w:rsidR="00D677D8" w:rsidRDefault="00D677D8">
            <w:pPr>
              <w:ind w:right="-2" w:hanging="2"/>
              <w:jc w:val="center"/>
              <w:rPr>
                <w:b/>
                <w:bCs/>
                <w:color w:val="FF0000"/>
                <w:sz w:val="22"/>
                <w:szCs w:val="22"/>
              </w:rPr>
            </w:pPr>
          </w:p>
        </w:tc>
        <w:tc>
          <w:tcPr>
            <w:tcW w:w="9084" w:type="dxa"/>
            <w:vMerge/>
            <w:shd w:val="clear" w:color="auto" w:fill="auto"/>
            <w:vAlign w:val="bottom"/>
          </w:tcPr>
          <w:p w:rsidR="00D677D8" w:rsidRDefault="00D677D8">
            <w:pPr>
              <w:ind w:right="-2"/>
              <w:jc w:val="both"/>
              <w:rPr>
                <w:color w:val="000000"/>
                <w:sz w:val="22"/>
                <w:szCs w:val="22"/>
              </w:rPr>
            </w:pPr>
          </w:p>
        </w:tc>
      </w:tr>
    </w:tbl>
    <w:p w:rsidR="00D677D8" w:rsidRDefault="00D677D8">
      <w:pPr>
        <w:ind w:right="-2" w:hanging="2"/>
        <w:jc w:val="both"/>
      </w:pPr>
    </w:p>
    <w:p w:rsidR="00D677D8" w:rsidRDefault="005964FB">
      <w:pPr>
        <w:ind w:right="-2" w:hanging="2"/>
        <w:jc w:val="both"/>
      </w:pPr>
      <w:r>
        <w:rPr>
          <w:b/>
          <w:bCs/>
          <w:sz w:val="22"/>
          <w:szCs w:val="22"/>
        </w:rPr>
        <w:t>3.4.1.</w:t>
      </w:r>
      <w:r>
        <w:rPr>
          <w:sz w:val="22"/>
          <w:szCs w:val="22"/>
        </w:rPr>
        <w:t xml:space="preserve"> Lei 14.133/21, de 01 de abril de 2021 e suas alterações.</w:t>
      </w:r>
    </w:p>
    <w:p w:rsidR="00D677D8" w:rsidRDefault="005964FB">
      <w:pPr>
        <w:ind w:right="-2" w:hanging="2"/>
        <w:jc w:val="both"/>
      </w:pPr>
      <w:r>
        <w:rPr>
          <w:b/>
          <w:bCs/>
          <w:sz w:val="22"/>
          <w:szCs w:val="22"/>
        </w:rPr>
        <w:t>3.4.2.</w:t>
      </w:r>
      <w:r>
        <w:rPr>
          <w:sz w:val="22"/>
          <w:szCs w:val="22"/>
        </w:rPr>
        <w:t xml:space="preserve"> Decreto Municipal nº 3.537/2023.</w:t>
      </w:r>
    </w:p>
    <w:p w:rsidR="00D677D8" w:rsidRDefault="005964FB">
      <w:pPr>
        <w:ind w:right="-2" w:hanging="2"/>
        <w:jc w:val="both"/>
      </w:pPr>
      <w:r>
        <w:rPr>
          <w:b/>
          <w:bCs/>
          <w:sz w:val="22"/>
          <w:szCs w:val="22"/>
        </w:rPr>
        <w:t>3.4.3.</w:t>
      </w:r>
      <w:r>
        <w:rPr>
          <w:sz w:val="22"/>
          <w:szCs w:val="22"/>
        </w:rPr>
        <w:t xml:space="preserve"> Lei nº 8.078, de 1990 - Código de Defesa do Consumidor.</w:t>
      </w:r>
    </w:p>
    <w:p w:rsidR="00D677D8" w:rsidRDefault="005964FB">
      <w:pPr>
        <w:ind w:right="-2" w:hanging="2"/>
        <w:jc w:val="both"/>
      </w:pPr>
      <w:r>
        <w:rPr>
          <w:b/>
          <w:bCs/>
          <w:sz w:val="22"/>
          <w:szCs w:val="22"/>
        </w:rPr>
        <w:t>3.4.4.</w:t>
      </w:r>
      <w:r>
        <w:rPr>
          <w:sz w:val="22"/>
          <w:szCs w:val="22"/>
        </w:rPr>
        <w:t xml:space="preserve"> Lei Complementar nº 123/2006, com alterações da Lei Complementar nº 147/2014.</w:t>
      </w:r>
    </w:p>
    <w:p w:rsidR="00D677D8" w:rsidRDefault="005964FB">
      <w:pPr>
        <w:ind w:right="-2" w:hanging="2"/>
        <w:jc w:val="both"/>
      </w:pPr>
      <w:r>
        <w:rPr>
          <w:b/>
          <w:bCs/>
          <w:sz w:val="22"/>
          <w:szCs w:val="22"/>
        </w:rPr>
        <w:t>3.4.5.</w:t>
      </w:r>
      <w:r>
        <w:rPr>
          <w:sz w:val="22"/>
          <w:szCs w:val="22"/>
        </w:rPr>
        <w:t xml:space="preserve"> Lei n° 12.305, de 2010 – Política Nacional de Resíduos Sólidos</w:t>
      </w:r>
    </w:p>
    <w:p w:rsidR="00D677D8" w:rsidRDefault="005964FB">
      <w:pPr>
        <w:ind w:right="-2" w:hanging="2"/>
        <w:jc w:val="both"/>
      </w:pPr>
      <w:r>
        <w:rPr>
          <w:b/>
          <w:bCs/>
          <w:sz w:val="22"/>
          <w:szCs w:val="22"/>
        </w:rPr>
        <w:t>3.4.6.</w:t>
      </w:r>
      <w:r>
        <w:rPr>
          <w:sz w:val="22"/>
          <w:szCs w:val="22"/>
        </w:rPr>
        <w:t xml:space="preserve"> Decreto nº 10.936, de 12 de janeiro de 2022, que regulamenta a Lei nº 12.305, de 2 de agosto de 2010.</w:t>
      </w:r>
    </w:p>
    <w:p w:rsidR="00D677D8" w:rsidRDefault="005964FB">
      <w:pPr>
        <w:ind w:right="-2" w:hanging="2"/>
        <w:jc w:val="both"/>
      </w:pPr>
      <w:r>
        <w:rPr>
          <w:b/>
          <w:bCs/>
          <w:sz w:val="22"/>
          <w:szCs w:val="22"/>
        </w:rPr>
        <w:t>3.4.7.</w:t>
      </w:r>
      <w:r>
        <w:rPr>
          <w:sz w:val="22"/>
          <w:szCs w:val="22"/>
        </w:rPr>
        <w:t xml:space="preserve"> PPA - Lei n.º 4.057/2021 de 10 de novembro de 2021;</w:t>
      </w:r>
    </w:p>
    <w:p w:rsidR="00D677D8" w:rsidRDefault="005964FB">
      <w:pPr>
        <w:ind w:right="-2" w:hanging="2"/>
        <w:jc w:val="both"/>
      </w:pPr>
      <w:r>
        <w:rPr>
          <w:b/>
          <w:bCs/>
          <w:sz w:val="22"/>
          <w:szCs w:val="22"/>
        </w:rPr>
        <w:t>3.4.8.</w:t>
      </w:r>
      <w:r>
        <w:rPr>
          <w:sz w:val="22"/>
          <w:szCs w:val="22"/>
        </w:rPr>
        <w:t xml:space="preserve"> LDO - Lei n.º 4.462/2024, de 14 de agosto de 2024;</w:t>
      </w:r>
    </w:p>
    <w:p w:rsidR="00D677D8" w:rsidRDefault="005964FB">
      <w:pPr>
        <w:ind w:right="-2" w:hanging="2"/>
        <w:jc w:val="both"/>
        <w:rPr>
          <w:sz w:val="22"/>
          <w:szCs w:val="22"/>
        </w:rPr>
      </w:pPr>
      <w:r>
        <w:rPr>
          <w:b/>
          <w:bCs/>
          <w:sz w:val="22"/>
          <w:szCs w:val="22"/>
        </w:rPr>
        <w:t>3.4.9.</w:t>
      </w:r>
      <w:r>
        <w:rPr>
          <w:sz w:val="22"/>
          <w:szCs w:val="22"/>
        </w:rPr>
        <w:t xml:space="preserve"> LOA – Lei nº 4.477/2024, de 03 de dezembro de 2024</w:t>
      </w:r>
    </w:p>
    <w:p w:rsidR="00D677D8" w:rsidRDefault="005964FB">
      <w:pPr>
        <w:ind w:right="-2" w:hanging="2"/>
        <w:jc w:val="both"/>
        <w:rPr>
          <w:sz w:val="22"/>
          <w:szCs w:val="22"/>
        </w:rPr>
      </w:pPr>
      <w:r>
        <w:rPr>
          <w:sz w:val="22"/>
          <w:szCs w:val="22"/>
        </w:rPr>
        <w:t>3.4.10. Convênio nº 160/2025 – SIT 72669 – Instrumento firmado entre o Município de Bandeirantes/PR e a Secretaria de Estado da Agricultura e do Abastecimento (SEAB), que define o objeto, os recursos, os prazos e as obrigações das partes para a aquisição de pá carregadeira nova, zero hora.</w:t>
      </w:r>
    </w:p>
    <w:p w:rsidR="00D677D8" w:rsidRDefault="005964FB">
      <w:pPr>
        <w:ind w:right="-2" w:hanging="2"/>
        <w:jc w:val="both"/>
        <w:rPr>
          <w:sz w:val="22"/>
          <w:szCs w:val="22"/>
        </w:rPr>
      </w:pPr>
      <w:r>
        <w:rPr>
          <w:sz w:val="22"/>
          <w:szCs w:val="22"/>
        </w:rPr>
        <w:t>3.1.11. Demais normas correlatas, incluindo:</w:t>
      </w:r>
    </w:p>
    <w:p w:rsidR="00D677D8" w:rsidRDefault="005964FB">
      <w:pPr>
        <w:pStyle w:val="PargrafodaLista"/>
        <w:numPr>
          <w:ilvl w:val="0"/>
          <w:numId w:val="9"/>
        </w:numPr>
        <w:ind w:right="-2"/>
        <w:jc w:val="both"/>
        <w:rPr>
          <w:sz w:val="22"/>
          <w:szCs w:val="22"/>
        </w:rPr>
      </w:pPr>
      <w:r>
        <w:rPr>
          <w:sz w:val="22"/>
          <w:szCs w:val="22"/>
        </w:rPr>
        <w:t>Resoluções do CONAMA aplicáveis ao objeto (Resolução nº 490/2018 – PROCONVE P8/Euro VI);</w:t>
      </w:r>
    </w:p>
    <w:p w:rsidR="00D677D8" w:rsidRDefault="005964FB">
      <w:pPr>
        <w:pStyle w:val="PargrafodaLista"/>
        <w:numPr>
          <w:ilvl w:val="0"/>
          <w:numId w:val="9"/>
        </w:numPr>
        <w:ind w:right="-2"/>
        <w:jc w:val="both"/>
        <w:rPr>
          <w:sz w:val="22"/>
          <w:szCs w:val="22"/>
        </w:rPr>
      </w:pPr>
      <w:r>
        <w:rPr>
          <w:sz w:val="22"/>
          <w:szCs w:val="22"/>
        </w:rPr>
        <w:t>Legislação tributária, trabalhista, ambiental e de trânsito, naquilo que for pertinente à execução contratual.</w:t>
      </w:r>
    </w:p>
    <w:p w:rsidR="00D677D8" w:rsidRDefault="005964FB">
      <w:pPr>
        <w:ind w:right="-2" w:hanging="2"/>
        <w:jc w:val="both"/>
        <w:rPr>
          <w:sz w:val="22"/>
          <w:szCs w:val="22"/>
        </w:rPr>
      </w:pPr>
      <w:r>
        <w:rPr>
          <w:sz w:val="22"/>
          <w:szCs w:val="22"/>
        </w:rPr>
        <w:t>A observância a este conjunto normativo assegura a legalidade, transparência, economicidade e segurança jurídica do presente processo de contratação, garantindo que a aquisição atenda integralmente aos princ</w:t>
      </w:r>
      <w:r>
        <w:rPr>
          <w:sz w:val="22"/>
          <w:szCs w:val="22"/>
        </w:rPr>
        <w:t>í</w:t>
      </w:r>
      <w:r>
        <w:rPr>
          <w:sz w:val="22"/>
          <w:szCs w:val="22"/>
        </w:rPr>
        <w:t>pios e regras da Administração Pública.</w:t>
      </w:r>
    </w:p>
    <w:p w:rsidR="00D677D8" w:rsidRDefault="00D677D8">
      <w:pPr>
        <w:ind w:right="-2" w:hanging="2"/>
        <w:jc w:val="both"/>
        <w:rPr>
          <w:sz w:val="22"/>
          <w:szCs w:val="22"/>
        </w:rPr>
      </w:pPr>
    </w:p>
    <w:p w:rsidR="00D677D8" w:rsidRDefault="00D677D8">
      <w:pPr>
        <w:ind w:right="-2" w:hanging="2"/>
        <w:jc w:val="both"/>
        <w:rPr>
          <w:b/>
          <w:bCs/>
          <w:sz w:val="22"/>
          <w:szCs w:val="22"/>
        </w:rPr>
      </w:pPr>
    </w:p>
    <w:p w:rsidR="00D677D8" w:rsidRDefault="005964FB">
      <w:pPr>
        <w:shd w:val="clear" w:color="auto" w:fill="1F497D" w:themeFill="text2"/>
        <w:ind w:right="-2" w:firstLine="140"/>
        <w:jc w:val="both"/>
      </w:pPr>
      <w:r>
        <w:rPr>
          <w:b/>
          <w:bCs/>
          <w:color w:val="F2F2F2" w:themeColor="background1" w:themeShade="F2"/>
          <w:sz w:val="22"/>
          <w:szCs w:val="22"/>
        </w:rPr>
        <w:t>IV - Detalhamento da Solução Escolhida</w:t>
      </w:r>
    </w:p>
    <w:p w:rsidR="00D677D8" w:rsidRDefault="00D677D8">
      <w:pPr>
        <w:ind w:right="-2" w:hanging="2"/>
        <w:jc w:val="both"/>
        <w:rPr>
          <w:b/>
          <w:bCs/>
          <w:sz w:val="22"/>
          <w:szCs w:val="22"/>
        </w:rPr>
      </w:pPr>
    </w:p>
    <w:p w:rsidR="00D677D8" w:rsidRDefault="005964FB">
      <w:pPr>
        <w:pStyle w:val="PargrafodaLista"/>
        <w:numPr>
          <w:ilvl w:val="0"/>
          <w:numId w:val="10"/>
        </w:numPr>
        <w:pBdr>
          <w:top w:val="single" w:sz="12" w:space="1" w:color="000000"/>
          <w:left w:val="single" w:sz="12" w:space="0" w:color="000000"/>
          <w:bottom w:val="single" w:sz="12" w:space="1" w:color="000000"/>
          <w:right w:val="single" w:sz="12" w:space="4" w:color="000000"/>
        </w:pBdr>
        <w:shd w:val="clear" w:color="auto" w:fill="C6D9F1" w:themeFill="text2" w:themeFillTint="33"/>
        <w:tabs>
          <w:tab w:val="left" w:pos="284"/>
        </w:tabs>
        <w:ind w:left="0" w:right="-2" w:hanging="2"/>
        <w:jc w:val="both"/>
      </w:pPr>
      <w:r>
        <w:rPr>
          <w:b/>
          <w:bCs/>
          <w:sz w:val="22"/>
          <w:szCs w:val="22"/>
        </w:rPr>
        <w:lastRenderedPageBreak/>
        <w:t>Descrição da solução como um todo (art. 15, §1º, V e VI do Decreto nº3.537/2023):</w:t>
      </w:r>
    </w:p>
    <w:p w:rsidR="00D677D8" w:rsidRDefault="00D677D8">
      <w:pPr>
        <w:pStyle w:val="CabealhoeRodap"/>
        <w:ind w:right="-2"/>
        <w:jc w:val="both"/>
        <w:rPr>
          <w:b/>
          <w:bCs/>
          <w:sz w:val="22"/>
          <w:szCs w:val="22"/>
        </w:rPr>
      </w:pPr>
      <w:bookmarkStart w:id="1" w:name="_Hlk189722521"/>
      <w:bookmarkEnd w:id="1"/>
    </w:p>
    <w:p w:rsidR="00D677D8" w:rsidRPr="00067C7C" w:rsidRDefault="00067C7C" w:rsidP="00067C7C">
      <w:pPr>
        <w:ind w:left="-2" w:right="-2"/>
        <w:jc w:val="both"/>
        <w:rPr>
          <w:sz w:val="22"/>
          <w:szCs w:val="22"/>
        </w:rPr>
      </w:pPr>
      <w:r w:rsidRPr="00067C7C">
        <w:rPr>
          <w:b/>
          <w:sz w:val="22"/>
          <w:szCs w:val="22"/>
        </w:rPr>
        <w:t>1.1. Objeto</w:t>
      </w:r>
      <w:r>
        <w:rPr>
          <w:b/>
          <w:sz w:val="22"/>
          <w:szCs w:val="22"/>
        </w:rPr>
        <w:t xml:space="preserve">: </w:t>
      </w:r>
      <w:r w:rsidRPr="00067C7C">
        <w:rPr>
          <w:sz w:val="22"/>
          <w:szCs w:val="22"/>
        </w:rPr>
        <w:t>Aquisição de pá carregadeira sobre rodas, última série, nova, zero hora, com fabricação a</w:t>
      </w:r>
      <w:r w:rsidRPr="00067C7C">
        <w:rPr>
          <w:sz w:val="22"/>
          <w:szCs w:val="22"/>
        </w:rPr>
        <w:t>d</w:t>
      </w:r>
      <w:r w:rsidRPr="00067C7C">
        <w:rPr>
          <w:sz w:val="22"/>
          <w:szCs w:val="22"/>
        </w:rPr>
        <w:t>missível a partir do segundo semestre de 2024 ou superior, motor diesel de potência líquida mínima de 130 HP, peso operacional entre 11.500 kg e 13.000 kg, cabine climatizada com certificações ROPS/FOPS, caçamba com capacidade mínima de 1,70 m³, pneus 17.5×25 E3/L3, garantia mínima de 12 (doze) meses, incluindo revisões de manutenção preventiva, entrega técnica, treinamento operacional e assistência técnica na região, em conformidade com as especificações constantes do Convênio nº 160/2025 – SEAB e deste Estudo Técnico Preliminar.</w:t>
      </w:r>
    </w:p>
    <w:p w:rsidR="00D677D8" w:rsidRDefault="00D677D8">
      <w:pPr>
        <w:ind w:left="-2" w:right="-2"/>
        <w:jc w:val="both"/>
        <w:rPr>
          <w:b/>
          <w:sz w:val="22"/>
          <w:szCs w:val="22"/>
        </w:rPr>
      </w:pPr>
    </w:p>
    <w:p w:rsidR="00067C7C" w:rsidRPr="00067C7C" w:rsidRDefault="005964FB" w:rsidP="00067C7C">
      <w:pPr>
        <w:ind w:left="-2" w:right="-2"/>
        <w:jc w:val="both"/>
        <w:rPr>
          <w:sz w:val="22"/>
          <w:szCs w:val="22"/>
        </w:rPr>
      </w:pPr>
      <w:r>
        <w:rPr>
          <w:b/>
          <w:sz w:val="22"/>
          <w:szCs w:val="22"/>
        </w:rPr>
        <w:t>1.2. Natureza do Objeto</w:t>
      </w:r>
      <w:r w:rsidR="00067C7C">
        <w:rPr>
          <w:b/>
          <w:sz w:val="22"/>
          <w:szCs w:val="22"/>
        </w:rPr>
        <w:t xml:space="preserve">: </w:t>
      </w:r>
      <w:r w:rsidR="00067C7C" w:rsidRPr="00067C7C">
        <w:rPr>
          <w:sz w:val="22"/>
          <w:szCs w:val="22"/>
        </w:rPr>
        <w:t>O objeto da presente contratação possui natureza de bem permanente, classif</w:t>
      </w:r>
      <w:r w:rsidR="00067C7C" w:rsidRPr="00067C7C">
        <w:rPr>
          <w:sz w:val="22"/>
          <w:szCs w:val="22"/>
        </w:rPr>
        <w:t>i</w:t>
      </w:r>
      <w:r w:rsidR="00067C7C" w:rsidRPr="00067C7C">
        <w:rPr>
          <w:sz w:val="22"/>
          <w:szCs w:val="22"/>
        </w:rPr>
        <w:t>cado como máquina/equipamento rodoviário, destinado a integrar o ativo imobilizado do Município de Bandeirantes/PR. Trata-se de bem de uso duradouro, com vida útil superior a dois anos, incorporado ao patrimônio público, em conformidade com as normas de contabilidade aplicada ao setor público (MCASP) e com o disposto no Plano de Trabalho aprovado no âmbito do Convênio nº 160/2025 – SEAB.</w:t>
      </w:r>
    </w:p>
    <w:p w:rsidR="00067C7C" w:rsidRPr="00067C7C" w:rsidRDefault="00067C7C" w:rsidP="00067C7C">
      <w:pPr>
        <w:ind w:left="-2" w:right="-2"/>
        <w:jc w:val="both"/>
        <w:rPr>
          <w:sz w:val="22"/>
          <w:szCs w:val="22"/>
        </w:rPr>
      </w:pPr>
    </w:p>
    <w:p w:rsidR="00067C7C" w:rsidRPr="00067C7C" w:rsidRDefault="00067C7C" w:rsidP="00067C7C">
      <w:pPr>
        <w:ind w:left="-2" w:right="-2"/>
        <w:jc w:val="both"/>
        <w:rPr>
          <w:sz w:val="22"/>
          <w:szCs w:val="22"/>
        </w:rPr>
      </w:pPr>
      <w:r w:rsidRPr="00067C7C">
        <w:rPr>
          <w:sz w:val="22"/>
          <w:szCs w:val="22"/>
        </w:rPr>
        <w:t>Por suas características técnicas e operacionais, a pá carregadeira é considerada um bem comum, na fo</w:t>
      </w:r>
      <w:r w:rsidRPr="00067C7C">
        <w:rPr>
          <w:sz w:val="22"/>
          <w:szCs w:val="22"/>
        </w:rPr>
        <w:t>r</w:t>
      </w:r>
      <w:r w:rsidRPr="00067C7C">
        <w:rPr>
          <w:sz w:val="22"/>
          <w:szCs w:val="22"/>
        </w:rPr>
        <w:t>ma do art. 6º, inciso IX, alínea “a”, da Lei nº 14.133/2021, uma vez que suas especificações de desemp</w:t>
      </w:r>
      <w:r w:rsidRPr="00067C7C">
        <w:rPr>
          <w:sz w:val="22"/>
          <w:szCs w:val="22"/>
        </w:rPr>
        <w:t>e</w:t>
      </w:r>
      <w:r w:rsidRPr="00067C7C">
        <w:rPr>
          <w:sz w:val="22"/>
          <w:szCs w:val="22"/>
        </w:rPr>
        <w:t>nho e qualidade podem ser objetivamente definidas no edital, permitindo ampla concorrência e a comp</w:t>
      </w:r>
      <w:r w:rsidRPr="00067C7C">
        <w:rPr>
          <w:sz w:val="22"/>
          <w:szCs w:val="22"/>
        </w:rPr>
        <w:t>a</w:t>
      </w:r>
      <w:r w:rsidRPr="00067C7C">
        <w:rPr>
          <w:sz w:val="22"/>
          <w:szCs w:val="22"/>
        </w:rPr>
        <w:t>rabilidade entre propostas, sem necessidade de julgamento subjetivo.</w:t>
      </w:r>
    </w:p>
    <w:p w:rsidR="00067C7C" w:rsidRPr="00067C7C" w:rsidRDefault="00067C7C" w:rsidP="00067C7C">
      <w:pPr>
        <w:ind w:left="-2" w:right="-2"/>
        <w:jc w:val="both"/>
        <w:rPr>
          <w:sz w:val="22"/>
          <w:szCs w:val="22"/>
        </w:rPr>
      </w:pPr>
    </w:p>
    <w:p w:rsidR="00D677D8" w:rsidRPr="00067C7C" w:rsidRDefault="00067C7C" w:rsidP="00067C7C">
      <w:pPr>
        <w:ind w:left="-2" w:right="-2"/>
        <w:jc w:val="both"/>
        <w:rPr>
          <w:bCs/>
          <w:sz w:val="22"/>
          <w:szCs w:val="22"/>
        </w:rPr>
      </w:pPr>
      <w:r w:rsidRPr="00067C7C">
        <w:rPr>
          <w:sz w:val="22"/>
          <w:szCs w:val="22"/>
        </w:rPr>
        <w:t>A classificação do objeto como bem permanente e comum fundamenta a adoção da modalidade Pregão Eletrônico, nos termos do art. 28, inciso II, da Lei nº 14.133/2021, garantindo maior competitividade, transparência e vantajosidade na contratação.</w:t>
      </w:r>
    </w:p>
    <w:p w:rsidR="00D677D8" w:rsidRDefault="00D677D8">
      <w:pPr>
        <w:ind w:left="-2" w:right="-2"/>
        <w:jc w:val="both"/>
        <w:rPr>
          <w:bCs/>
          <w:sz w:val="22"/>
          <w:szCs w:val="22"/>
        </w:rPr>
      </w:pPr>
    </w:p>
    <w:p w:rsidR="00067C7C" w:rsidRPr="00067C7C" w:rsidRDefault="00067C7C" w:rsidP="00067C7C">
      <w:pPr>
        <w:ind w:left="-2" w:right="-2"/>
        <w:jc w:val="both"/>
        <w:rPr>
          <w:bCs/>
          <w:sz w:val="22"/>
          <w:szCs w:val="22"/>
        </w:rPr>
      </w:pPr>
      <w:r w:rsidRPr="00067C7C">
        <w:rPr>
          <w:b/>
          <w:bCs/>
          <w:sz w:val="22"/>
          <w:szCs w:val="22"/>
        </w:rPr>
        <w:t>1.3. Modalidade de Contratação:</w:t>
      </w:r>
      <w:r w:rsidRPr="00067C7C">
        <w:rPr>
          <w:bCs/>
          <w:sz w:val="22"/>
          <w:szCs w:val="22"/>
        </w:rPr>
        <w:t xml:space="preserve"> A modalidade de contratação escolhida para a aquisição da pá carr</w:t>
      </w:r>
      <w:r w:rsidRPr="00067C7C">
        <w:rPr>
          <w:bCs/>
          <w:sz w:val="22"/>
          <w:szCs w:val="22"/>
        </w:rPr>
        <w:t>e</w:t>
      </w:r>
      <w:r w:rsidRPr="00067C7C">
        <w:rPr>
          <w:bCs/>
          <w:sz w:val="22"/>
          <w:szCs w:val="22"/>
        </w:rPr>
        <w:t>gadeira sobre rodas, nova, zero hora, é o Pregão Eletrônico, com critério de julgamento pelo menor preço, nos termos do art. 28, inciso II, da Lei nº 14.133/2021. A opção fundamenta-se no fato de que o objeto enquadra-se como bem comum, conforme definição do art. 6º, inciso IX, alínea “a”, da referida Lei, uma vez que suas especificações de desempenho e qualidade podem ser descritas de forma objetiva no edital, permitindo a apresentação de propostas comparáveis entre si e a seleção da mais vantajosa para a Adm</w:t>
      </w:r>
      <w:r w:rsidRPr="00067C7C">
        <w:rPr>
          <w:bCs/>
          <w:sz w:val="22"/>
          <w:szCs w:val="22"/>
        </w:rPr>
        <w:t>i</w:t>
      </w:r>
      <w:r w:rsidRPr="00067C7C">
        <w:rPr>
          <w:bCs/>
          <w:sz w:val="22"/>
          <w:szCs w:val="22"/>
        </w:rPr>
        <w:t>nistração.</w:t>
      </w:r>
    </w:p>
    <w:p w:rsidR="00067C7C" w:rsidRPr="00067C7C" w:rsidRDefault="00067C7C" w:rsidP="00067C7C">
      <w:pPr>
        <w:ind w:left="-2" w:right="-2"/>
        <w:jc w:val="both"/>
        <w:rPr>
          <w:bCs/>
          <w:sz w:val="22"/>
          <w:szCs w:val="22"/>
        </w:rPr>
      </w:pPr>
    </w:p>
    <w:p w:rsidR="00D677D8" w:rsidRDefault="00067C7C" w:rsidP="00067C7C">
      <w:pPr>
        <w:ind w:left="-2" w:right="-2"/>
        <w:jc w:val="both"/>
        <w:rPr>
          <w:bCs/>
          <w:sz w:val="22"/>
          <w:szCs w:val="22"/>
        </w:rPr>
      </w:pPr>
      <w:r w:rsidRPr="00067C7C">
        <w:rPr>
          <w:bCs/>
          <w:sz w:val="22"/>
          <w:szCs w:val="22"/>
        </w:rPr>
        <w:t>A adoção do Pregão Eletrônico revela-se a solução mais adequada por assegurar ampla competitividade entre fornecedores, promover maior transparência ao processo por meio de disputa em ambiente digital, auditável e acessível, conferir maior celeridade em razão do rito simplificado compatível com os prazos do Convênio nº 160/2025 – SEAB e, sobretudo, garantir vantajosidade econômica mediante a obtenção de propostas potencialmente inferiores à média de mercado apurada na pesquisa de preços. Assim, a escolha dessa modalidade atende integralmente aos princípios da legalidade, da eficiência, da publicidade, da economicidade e da supremacia do interesse público, assegurando a correta aplicação dos recursos tran</w:t>
      </w:r>
      <w:r w:rsidRPr="00067C7C">
        <w:rPr>
          <w:bCs/>
          <w:sz w:val="22"/>
          <w:szCs w:val="22"/>
        </w:rPr>
        <w:t>s</w:t>
      </w:r>
      <w:r w:rsidRPr="00067C7C">
        <w:rPr>
          <w:bCs/>
          <w:sz w:val="22"/>
          <w:szCs w:val="22"/>
        </w:rPr>
        <w:t>feridos e o pleno atendimento das necessidades operacionais do Município de Bandeirantes/PR.</w:t>
      </w:r>
    </w:p>
    <w:p w:rsidR="00067C7C" w:rsidRDefault="00067C7C">
      <w:pPr>
        <w:ind w:left="-2" w:right="-2"/>
        <w:jc w:val="both"/>
        <w:rPr>
          <w:bCs/>
          <w:sz w:val="22"/>
          <w:szCs w:val="22"/>
        </w:rPr>
      </w:pPr>
    </w:p>
    <w:p w:rsidR="0037537F" w:rsidRDefault="0037537F" w:rsidP="006743F6">
      <w:pPr>
        <w:pStyle w:val="PargrafodaLista"/>
        <w:tabs>
          <w:tab w:val="left" w:pos="284"/>
        </w:tabs>
        <w:ind w:left="0" w:right="-2"/>
        <w:jc w:val="both"/>
        <w:rPr>
          <w:b/>
          <w:sz w:val="22"/>
          <w:szCs w:val="22"/>
        </w:rPr>
      </w:pPr>
      <w:r>
        <w:rPr>
          <w:b/>
          <w:sz w:val="22"/>
          <w:szCs w:val="22"/>
        </w:rPr>
        <w:t xml:space="preserve">1.4. </w:t>
      </w:r>
      <w:r w:rsidR="005964FB" w:rsidRPr="0037537F">
        <w:rPr>
          <w:b/>
          <w:sz w:val="22"/>
          <w:szCs w:val="22"/>
        </w:rPr>
        <w:t>Requisitos Necessários ao Atendimento da Necessidade e Padrões Mínimos de Qualidade e D</w:t>
      </w:r>
      <w:r w:rsidR="005964FB" w:rsidRPr="0037537F">
        <w:rPr>
          <w:b/>
          <w:sz w:val="22"/>
          <w:szCs w:val="22"/>
        </w:rPr>
        <w:t>e</w:t>
      </w:r>
      <w:r w:rsidR="005964FB" w:rsidRPr="0037537F">
        <w:rPr>
          <w:b/>
          <w:sz w:val="22"/>
          <w:szCs w:val="22"/>
        </w:rPr>
        <w:t>sempenho</w:t>
      </w:r>
      <w:r w:rsidRPr="0037537F">
        <w:rPr>
          <w:b/>
          <w:sz w:val="22"/>
          <w:szCs w:val="22"/>
        </w:rPr>
        <w:t xml:space="preserve">: </w:t>
      </w:r>
    </w:p>
    <w:p w:rsidR="006743F6" w:rsidRPr="0037537F" w:rsidRDefault="006743F6" w:rsidP="006743F6">
      <w:pPr>
        <w:pStyle w:val="PargrafodaLista"/>
        <w:tabs>
          <w:tab w:val="left" w:pos="284"/>
        </w:tabs>
        <w:ind w:left="0" w:right="-2"/>
        <w:jc w:val="both"/>
        <w:rPr>
          <w:sz w:val="22"/>
          <w:szCs w:val="22"/>
        </w:rPr>
      </w:pPr>
    </w:p>
    <w:p w:rsidR="006743F6" w:rsidRPr="006743F6" w:rsidRDefault="006743F6" w:rsidP="006743F6">
      <w:pPr>
        <w:ind w:right="-2"/>
        <w:jc w:val="both"/>
        <w:rPr>
          <w:sz w:val="22"/>
          <w:szCs w:val="22"/>
        </w:rPr>
      </w:pPr>
      <w:r w:rsidRPr="006743F6">
        <w:rPr>
          <w:sz w:val="22"/>
          <w:szCs w:val="22"/>
        </w:rPr>
        <w:t>A solução proposta exige que a pá carregadeira a ser adquirida atenda a requisitos técnicos mínimos c</w:t>
      </w:r>
      <w:r w:rsidRPr="006743F6">
        <w:rPr>
          <w:sz w:val="22"/>
          <w:szCs w:val="22"/>
        </w:rPr>
        <w:t>a</w:t>
      </w:r>
      <w:r w:rsidRPr="006743F6">
        <w:rPr>
          <w:sz w:val="22"/>
          <w:szCs w:val="22"/>
        </w:rPr>
        <w:t>pazes de assegurar eficiência operacional, durabilidade, segurança e conformidade ambiental, em cons</w:t>
      </w:r>
      <w:r w:rsidRPr="006743F6">
        <w:rPr>
          <w:sz w:val="22"/>
          <w:szCs w:val="22"/>
        </w:rPr>
        <w:t>o</w:t>
      </w:r>
      <w:r w:rsidRPr="006743F6">
        <w:rPr>
          <w:sz w:val="22"/>
          <w:szCs w:val="22"/>
        </w:rPr>
        <w:t>nância com as diretrizes estabelecidas no Convênio nº 160/2025 – SEAB.</w:t>
      </w:r>
    </w:p>
    <w:p w:rsidR="006743F6" w:rsidRPr="006743F6" w:rsidRDefault="006743F6" w:rsidP="006743F6">
      <w:pPr>
        <w:ind w:right="-2"/>
        <w:jc w:val="both"/>
        <w:rPr>
          <w:b/>
          <w:sz w:val="22"/>
          <w:szCs w:val="22"/>
        </w:rPr>
      </w:pPr>
    </w:p>
    <w:p w:rsidR="006743F6" w:rsidRPr="006743F6" w:rsidRDefault="006743F6" w:rsidP="006743F6">
      <w:pPr>
        <w:ind w:right="-2"/>
        <w:jc w:val="both"/>
        <w:rPr>
          <w:b/>
          <w:sz w:val="22"/>
          <w:szCs w:val="22"/>
        </w:rPr>
      </w:pPr>
      <w:r w:rsidRPr="006743F6">
        <w:rPr>
          <w:b/>
          <w:sz w:val="22"/>
          <w:szCs w:val="22"/>
        </w:rPr>
        <w:t>a) Requisitos Técnicos do Objeto</w:t>
      </w:r>
    </w:p>
    <w:p w:rsidR="006743F6" w:rsidRPr="006743F6" w:rsidRDefault="006743F6" w:rsidP="006743F6">
      <w:pPr>
        <w:ind w:right="-2"/>
        <w:jc w:val="both"/>
        <w:rPr>
          <w:b/>
          <w:sz w:val="22"/>
          <w:szCs w:val="22"/>
        </w:rPr>
      </w:pPr>
    </w:p>
    <w:p w:rsidR="006743F6" w:rsidRPr="006743F6" w:rsidRDefault="006743F6" w:rsidP="006743F6">
      <w:pPr>
        <w:pStyle w:val="PargrafodaLista"/>
        <w:numPr>
          <w:ilvl w:val="0"/>
          <w:numId w:val="23"/>
        </w:numPr>
        <w:ind w:right="-2"/>
        <w:jc w:val="both"/>
        <w:rPr>
          <w:sz w:val="22"/>
          <w:szCs w:val="22"/>
        </w:rPr>
      </w:pPr>
      <w:r w:rsidRPr="006743F6">
        <w:rPr>
          <w:sz w:val="22"/>
          <w:szCs w:val="22"/>
        </w:rPr>
        <w:lastRenderedPageBreak/>
        <w:t>Potência efetiva líquida mínima: 130 HP (motor diesel em conformidade com limites de emissão CONAMA/PROCONVE – MAR I ou superior);</w:t>
      </w:r>
    </w:p>
    <w:p w:rsidR="006743F6" w:rsidRPr="006743F6" w:rsidRDefault="006743F6" w:rsidP="006743F6">
      <w:pPr>
        <w:ind w:right="-2"/>
        <w:jc w:val="both"/>
        <w:rPr>
          <w:sz w:val="22"/>
          <w:szCs w:val="22"/>
        </w:rPr>
      </w:pPr>
    </w:p>
    <w:p w:rsidR="006743F6" w:rsidRPr="006743F6" w:rsidRDefault="006743F6" w:rsidP="006743F6">
      <w:pPr>
        <w:pStyle w:val="PargrafodaLista"/>
        <w:numPr>
          <w:ilvl w:val="0"/>
          <w:numId w:val="23"/>
        </w:numPr>
        <w:ind w:right="-2"/>
        <w:jc w:val="both"/>
        <w:rPr>
          <w:sz w:val="22"/>
          <w:szCs w:val="22"/>
        </w:rPr>
      </w:pPr>
      <w:r w:rsidRPr="006743F6">
        <w:rPr>
          <w:sz w:val="22"/>
          <w:szCs w:val="22"/>
        </w:rPr>
        <w:t>Peso operacional: 11.500 kg a 13.000 kg;</w:t>
      </w:r>
    </w:p>
    <w:p w:rsidR="006743F6" w:rsidRPr="006743F6" w:rsidRDefault="006743F6" w:rsidP="006743F6">
      <w:pPr>
        <w:ind w:right="-2"/>
        <w:jc w:val="both"/>
        <w:rPr>
          <w:sz w:val="22"/>
          <w:szCs w:val="22"/>
        </w:rPr>
      </w:pPr>
    </w:p>
    <w:p w:rsidR="006743F6" w:rsidRPr="006743F6" w:rsidRDefault="006743F6" w:rsidP="006743F6">
      <w:pPr>
        <w:pStyle w:val="PargrafodaLista"/>
        <w:numPr>
          <w:ilvl w:val="0"/>
          <w:numId w:val="23"/>
        </w:numPr>
        <w:ind w:right="-2"/>
        <w:jc w:val="both"/>
        <w:rPr>
          <w:sz w:val="22"/>
          <w:szCs w:val="22"/>
        </w:rPr>
      </w:pPr>
      <w:r w:rsidRPr="006743F6">
        <w:rPr>
          <w:sz w:val="22"/>
          <w:szCs w:val="22"/>
        </w:rPr>
        <w:t>Transmissão: PowerShift ou hidrostática, com 4 marchas à frente e 3 à ré;</w:t>
      </w:r>
    </w:p>
    <w:p w:rsidR="006743F6" w:rsidRPr="006743F6" w:rsidRDefault="006743F6" w:rsidP="006743F6">
      <w:pPr>
        <w:ind w:right="-2"/>
        <w:jc w:val="both"/>
        <w:rPr>
          <w:sz w:val="22"/>
          <w:szCs w:val="22"/>
        </w:rPr>
      </w:pPr>
    </w:p>
    <w:p w:rsidR="006743F6" w:rsidRPr="006743F6" w:rsidRDefault="006743F6" w:rsidP="006743F6">
      <w:pPr>
        <w:pStyle w:val="PargrafodaLista"/>
        <w:numPr>
          <w:ilvl w:val="0"/>
          <w:numId w:val="23"/>
        </w:numPr>
        <w:ind w:right="-2"/>
        <w:jc w:val="both"/>
        <w:rPr>
          <w:sz w:val="22"/>
          <w:szCs w:val="22"/>
        </w:rPr>
      </w:pPr>
      <w:r w:rsidRPr="006743F6">
        <w:rPr>
          <w:sz w:val="22"/>
          <w:szCs w:val="22"/>
        </w:rPr>
        <w:t>Sistema hidráulico: bomba de engrenagem ou pistão de fluxo variável;</w:t>
      </w:r>
    </w:p>
    <w:p w:rsidR="006743F6" w:rsidRPr="006743F6" w:rsidRDefault="006743F6" w:rsidP="006743F6">
      <w:pPr>
        <w:ind w:right="-2"/>
        <w:jc w:val="both"/>
        <w:rPr>
          <w:sz w:val="22"/>
          <w:szCs w:val="22"/>
        </w:rPr>
      </w:pPr>
    </w:p>
    <w:p w:rsidR="006743F6" w:rsidRPr="006743F6" w:rsidRDefault="006743F6" w:rsidP="006743F6">
      <w:pPr>
        <w:pStyle w:val="PargrafodaLista"/>
        <w:numPr>
          <w:ilvl w:val="0"/>
          <w:numId w:val="23"/>
        </w:numPr>
        <w:ind w:right="-2"/>
        <w:jc w:val="both"/>
        <w:rPr>
          <w:sz w:val="22"/>
          <w:szCs w:val="22"/>
        </w:rPr>
      </w:pPr>
      <w:r w:rsidRPr="006743F6">
        <w:rPr>
          <w:sz w:val="22"/>
          <w:szCs w:val="22"/>
        </w:rPr>
        <w:t>Caçamba: capacidade mínima de 1,70 m³, com borda cortante, dentes e segmento aparafusado;</w:t>
      </w:r>
    </w:p>
    <w:p w:rsidR="006743F6" w:rsidRPr="006743F6" w:rsidRDefault="006743F6" w:rsidP="006743F6">
      <w:pPr>
        <w:ind w:right="-2"/>
        <w:jc w:val="both"/>
        <w:rPr>
          <w:sz w:val="22"/>
          <w:szCs w:val="22"/>
        </w:rPr>
      </w:pPr>
    </w:p>
    <w:p w:rsidR="006743F6" w:rsidRPr="006743F6" w:rsidRDefault="006743F6" w:rsidP="006743F6">
      <w:pPr>
        <w:pStyle w:val="PargrafodaLista"/>
        <w:numPr>
          <w:ilvl w:val="0"/>
          <w:numId w:val="23"/>
        </w:numPr>
        <w:ind w:right="-2"/>
        <w:jc w:val="both"/>
        <w:rPr>
          <w:sz w:val="22"/>
          <w:szCs w:val="22"/>
        </w:rPr>
      </w:pPr>
      <w:r w:rsidRPr="006743F6">
        <w:rPr>
          <w:sz w:val="22"/>
          <w:szCs w:val="22"/>
        </w:rPr>
        <w:t>Cilindros: 2 de elevação e 1 de tombamento;</w:t>
      </w:r>
    </w:p>
    <w:p w:rsidR="006743F6" w:rsidRPr="006743F6" w:rsidRDefault="006743F6" w:rsidP="006743F6">
      <w:pPr>
        <w:ind w:right="-2"/>
        <w:jc w:val="both"/>
        <w:rPr>
          <w:sz w:val="22"/>
          <w:szCs w:val="22"/>
        </w:rPr>
      </w:pPr>
    </w:p>
    <w:p w:rsidR="006743F6" w:rsidRPr="006743F6" w:rsidRDefault="006743F6" w:rsidP="006743F6">
      <w:pPr>
        <w:pStyle w:val="PargrafodaLista"/>
        <w:numPr>
          <w:ilvl w:val="0"/>
          <w:numId w:val="23"/>
        </w:numPr>
        <w:ind w:right="-2"/>
        <w:jc w:val="both"/>
        <w:rPr>
          <w:sz w:val="22"/>
          <w:szCs w:val="22"/>
        </w:rPr>
      </w:pPr>
      <w:r w:rsidRPr="006743F6">
        <w:rPr>
          <w:sz w:val="22"/>
          <w:szCs w:val="22"/>
        </w:rPr>
        <w:t>Força de desagregação mínima: 9.800 kgf;</w:t>
      </w:r>
    </w:p>
    <w:p w:rsidR="006743F6" w:rsidRPr="006743F6" w:rsidRDefault="006743F6" w:rsidP="006743F6">
      <w:pPr>
        <w:ind w:right="-2"/>
        <w:jc w:val="both"/>
        <w:rPr>
          <w:sz w:val="22"/>
          <w:szCs w:val="22"/>
        </w:rPr>
      </w:pPr>
    </w:p>
    <w:p w:rsidR="006743F6" w:rsidRPr="006743F6" w:rsidRDefault="006743F6" w:rsidP="006743F6">
      <w:pPr>
        <w:pStyle w:val="PargrafodaLista"/>
        <w:numPr>
          <w:ilvl w:val="0"/>
          <w:numId w:val="23"/>
        </w:numPr>
        <w:ind w:right="-2"/>
        <w:jc w:val="both"/>
        <w:rPr>
          <w:sz w:val="22"/>
          <w:szCs w:val="22"/>
        </w:rPr>
      </w:pPr>
      <w:r w:rsidRPr="006743F6">
        <w:rPr>
          <w:sz w:val="22"/>
          <w:szCs w:val="22"/>
        </w:rPr>
        <w:t>Carga operacional mínima: 3.200 kg;</w:t>
      </w:r>
    </w:p>
    <w:p w:rsidR="006743F6" w:rsidRPr="006743F6" w:rsidRDefault="006743F6" w:rsidP="006743F6">
      <w:pPr>
        <w:ind w:right="-2"/>
        <w:jc w:val="both"/>
        <w:rPr>
          <w:sz w:val="22"/>
          <w:szCs w:val="22"/>
        </w:rPr>
      </w:pPr>
    </w:p>
    <w:p w:rsidR="006743F6" w:rsidRPr="006743F6" w:rsidRDefault="006743F6" w:rsidP="006743F6">
      <w:pPr>
        <w:pStyle w:val="PargrafodaLista"/>
        <w:numPr>
          <w:ilvl w:val="0"/>
          <w:numId w:val="23"/>
        </w:numPr>
        <w:ind w:right="-2"/>
        <w:jc w:val="both"/>
        <w:rPr>
          <w:sz w:val="22"/>
          <w:szCs w:val="22"/>
        </w:rPr>
      </w:pPr>
      <w:r w:rsidRPr="006743F6">
        <w:rPr>
          <w:sz w:val="22"/>
          <w:szCs w:val="22"/>
        </w:rPr>
        <w:t>Sistema elétrico: 24 V;</w:t>
      </w:r>
    </w:p>
    <w:p w:rsidR="006743F6" w:rsidRPr="006743F6" w:rsidRDefault="006743F6" w:rsidP="006743F6">
      <w:pPr>
        <w:ind w:right="-2"/>
        <w:jc w:val="both"/>
        <w:rPr>
          <w:sz w:val="22"/>
          <w:szCs w:val="22"/>
        </w:rPr>
      </w:pPr>
    </w:p>
    <w:p w:rsidR="006743F6" w:rsidRPr="006743F6" w:rsidRDefault="006743F6" w:rsidP="006743F6">
      <w:pPr>
        <w:pStyle w:val="PargrafodaLista"/>
        <w:numPr>
          <w:ilvl w:val="0"/>
          <w:numId w:val="23"/>
        </w:numPr>
        <w:ind w:right="-2"/>
        <w:jc w:val="both"/>
        <w:rPr>
          <w:sz w:val="22"/>
          <w:szCs w:val="22"/>
        </w:rPr>
      </w:pPr>
      <w:r w:rsidRPr="006743F6">
        <w:rPr>
          <w:sz w:val="22"/>
          <w:szCs w:val="22"/>
        </w:rPr>
        <w:t>Direção: hidráulica orbitrol ou hidrostática, com manobrabilidade articulada (ângulo mínimo de 38º para cada lado);</w:t>
      </w:r>
    </w:p>
    <w:p w:rsidR="006743F6" w:rsidRPr="006743F6" w:rsidRDefault="006743F6" w:rsidP="006743F6">
      <w:pPr>
        <w:ind w:right="-2"/>
        <w:jc w:val="both"/>
        <w:rPr>
          <w:sz w:val="22"/>
          <w:szCs w:val="22"/>
        </w:rPr>
      </w:pPr>
    </w:p>
    <w:p w:rsidR="006743F6" w:rsidRPr="006743F6" w:rsidRDefault="006743F6" w:rsidP="006743F6">
      <w:pPr>
        <w:pStyle w:val="PargrafodaLista"/>
        <w:numPr>
          <w:ilvl w:val="0"/>
          <w:numId w:val="23"/>
        </w:numPr>
        <w:ind w:right="-2"/>
        <w:jc w:val="both"/>
        <w:rPr>
          <w:sz w:val="22"/>
          <w:szCs w:val="22"/>
        </w:rPr>
      </w:pPr>
      <w:r w:rsidRPr="006743F6">
        <w:rPr>
          <w:sz w:val="22"/>
          <w:szCs w:val="22"/>
        </w:rPr>
        <w:t>Pneus: 17.5×25 E3/L3 (dianteiros e traseiros);</w:t>
      </w:r>
    </w:p>
    <w:p w:rsidR="006743F6" w:rsidRPr="006743F6" w:rsidRDefault="006743F6" w:rsidP="006743F6">
      <w:pPr>
        <w:ind w:right="-2"/>
        <w:jc w:val="both"/>
        <w:rPr>
          <w:sz w:val="22"/>
          <w:szCs w:val="22"/>
        </w:rPr>
      </w:pPr>
    </w:p>
    <w:p w:rsidR="006743F6" w:rsidRPr="006743F6" w:rsidRDefault="006743F6" w:rsidP="006743F6">
      <w:pPr>
        <w:pStyle w:val="PargrafodaLista"/>
        <w:numPr>
          <w:ilvl w:val="0"/>
          <w:numId w:val="23"/>
        </w:numPr>
        <w:ind w:right="-2"/>
        <w:jc w:val="both"/>
        <w:rPr>
          <w:sz w:val="22"/>
          <w:szCs w:val="22"/>
        </w:rPr>
      </w:pPr>
      <w:r w:rsidRPr="006743F6">
        <w:rPr>
          <w:sz w:val="22"/>
          <w:szCs w:val="22"/>
        </w:rPr>
        <w:t>Cabine: fechada, climatizada, com certificação ROPS/FOPS.</w:t>
      </w:r>
    </w:p>
    <w:p w:rsidR="006743F6" w:rsidRPr="006743F6" w:rsidRDefault="006743F6" w:rsidP="006743F6">
      <w:pPr>
        <w:ind w:right="-2"/>
        <w:jc w:val="both"/>
        <w:rPr>
          <w:b/>
          <w:sz w:val="22"/>
          <w:szCs w:val="22"/>
        </w:rPr>
      </w:pPr>
    </w:p>
    <w:p w:rsidR="006743F6" w:rsidRPr="006743F6" w:rsidRDefault="006743F6" w:rsidP="006743F6">
      <w:pPr>
        <w:ind w:right="-2"/>
        <w:jc w:val="both"/>
        <w:rPr>
          <w:b/>
          <w:sz w:val="22"/>
          <w:szCs w:val="22"/>
        </w:rPr>
      </w:pPr>
      <w:r w:rsidRPr="006743F6">
        <w:rPr>
          <w:b/>
          <w:sz w:val="22"/>
          <w:szCs w:val="22"/>
        </w:rPr>
        <w:t>b) Requisitos de Qualidade e Garantia</w:t>
      </w:r>
    </w:p>
    <w:p w:rsidR="006743F6" w:rsidRPr="006743F6" w:rsidRDefault="006743F6" w:rsidP="006743F6">
      <w:pPr>
        <w:ind w:right="-2"/>
        <w:jc w:val="both"/>
        <w:rPr>
          <w:b/>
          <w:sz w:val="22"/>
          <w:szCs w:val="22"/>
        </w:rPr>
      </w:pPr>
    </w:p>
    <w:p w:rsidR="006743F6" w:rsidRPr="003F63AA" w:rsidRDefault="006743F6" w:rsidP="003F63AA">
      <w:pPr>
        <w:pStyle w:val="PargrafodaLista"/>
        <w:numPr>
          <w:ilvl w:val="0"/>
          <w:numId w:val="24"/>
        </w:numPr>
        <w:ind w:right="-2"/>
        <w:jc w:val="both"/>
        <w:rPr>
          <w:sz w:val="22"/>
          <w:szCs w:val="22"/>
        </w:rPr>
      </w:pPr>
      <w:r w:rsidRPr="003F63AA">
        <w:rPr>
          <w:sz w:val="22"/>
          <w:szCs w:val="22"/>
        </w:rPr>
        <w:t>Fabricação: no mínimo do segundo semestre de 2024 ou superior;</w:t>
      </w:r>
    </w:p>
    <w:p w:rsidR="006743F6" w:rsidRPr="003F63AA" w:rsidRDefault="006743F6" w:rsidP="006743F6">
      <w:pPr>
        <w:ind w:right="-2"/>
        <w:jc w:val="both"/>
        <w:rPr>
          <w:sz w:val="22"/>
          <w:szCs w:val="22"/>
        </w:rPr>
      </w:pPr>
    </w:p>
    <w:p w:rsidR="006743F6" w:rsidRPr="003F63AA" w:rsidRDefault="006743F6" w:rsidP="003F63AA">
      <w:pPr>
        <w:pStyle w:val="PargrafodaLista"/>
        <w:numPr>
          <w:ilvl w:val="0"/>
          <w:numId w:val="24"/>
        </w:numPr>
        <w:ind w:right="-2"/>
        <w:jc w:val="both"/>
        <w:rPr>
          <w:sz w:val="22"/>
          <w:szCs w:val="22"/>
        </w:rPr>
      </w:pPr>
      <w:r w:rsidRPr="003F63AA">
        <w:rPr>
          <w:sz w:val="22"/>
          <w:szCs w:val="22"/>
        </w:rPr>
        <w:t>Garantia mínima de 12 meses ou 2.000 horas, cobrindo peças, mão de obra, revisões e logística;</w:t>
      </w:r>
    </w:p>
    <w:p w:rsidR="006743F6" w:rsidRPr="003F63AA" w:rsidRDefault="006743F6" w:rsidP="006743F6">
      <w:pPr>
        <w:ind w:right="-2"/>
        <w:jc w:val="both"/>
        <w:rPr>
          <w:sz w:val="22"/>
          <w:szCs w:val="22"/>
        </w:rPr>
      </w:pPr>
    </w:p>
    <w:p w:rsidR="006743F6" w:rsidRPr="003F63AA" w:rsidRDefault="006743F6" w:rsidP="003F63AA">
      <w:pPr>
        <w:pStyle w:val="PargrafodaLista"/>
        <w:numPr>
          <w:ilvl w:val="0"/>
          <w:numId w:val="24"/>
        </w:numPr>
        <w:ind w:right="-2"/>
        <w:jc w:val="both"/>
        <w:rPr>
          <w:sz w:val="22"/>
          <w:szCs w:val="22"/>
        </w:rPr>
      </w:pPr>
      <w:r w:rsidRPr="003F63AA">
        <w:rPr>
          <w:sz w:val="22"/>
          <w:szCs w:val="22"/>
        </w:rPr>
        <w:t>Assistência técnica autorizada disponível no Estado do Paraná, com disponibilidade de peças de reposição;</w:t>
      </w:r>
    </w:p>
    <w:p w:rsidR="006743F6" w:rsidRPr="003F63AA" w:rsidRDefault="006743F6" w:rsidP="006743F6">
      <w:pPr>
        <w:ind w:right="-2"/>
        <w:jc w:val="both"/>
        <w:rPr>
          <w:sz w:val="22"/>
          <w:szCs w:val="22"/>
        </w:rPr>
      </w:pPr>
    </w:p>
    <w:p w:rsidR="006743F6" w:rsidRPr="003F63AA" w:rsidRDefault="006743F6" w:rsidP="003F63AA">
      <w:pPr>
        <w:pStyle w:val="PargrafodaLista"/>
        <w:numPr>
          <w:ilvl w:val="0"/>
          <w:numId w:val="24"/>
        </w:numPr>
        <w:ind w:right="-2"/>
        <w:jc w:val="both"/>
        <w:rPr>
          <w:sz w:val="22"/>
          <w:szCs w:val="22"/>
        </w:rPr>
      </w:pPr>
      <w:r w:rsidRPr="003F63AA">
        <w:rPr>
          <w:sz w:val="22"/>
          <w:szCs w:val="22"/>
        </w:rPr>
        <w:t>Atendimento a chamados em até 48 horas e substituição de peças/solução de defeitos em até 10 dias úteis;</w:t>
      </w:r>
    </w:p>
    <w:p w:rsidR="006743F6" w:rsidRPr="003F63AA" w:rsidRDefault="006743F6" w:rsidP="006743F6">
      <w:pPr>
        <w:ind w:right="-2"/>
        <w:jc w:val="both"/>
        <w:rPr>
          <w:sz w:val="22"/>
          <w:szCs w:val="22"/>
        </w:rPr>
      </w:pPr>
    </w:p>
    <w:p w:rsidR="006743F6" w:rsidRPr="003F63AA" w:rsidRDefault="006743F6" w:rsidP="003F63AA">
      <w:pPr>
        <w:pStyle w:val="PargrafodaLista"/>
        <w:numPr>
          <w:ilvl w:val="0"/>
          <w:numId w:val="24"/>
        </w:numPr>
        <w:ind w:right="-2"/>
        <w:jc w:val="both"/>
        <w:rPr>
          <w:sz w:val="22"/>
          <w:szCs w:val="22"/>
        </w:rPr>
      </w:pPr>
      <w:r w:rsidRPr="003F63AA">
        <w:rPr>
          <w:sz w:val="22"/>
          <w:szCs w:val="22"/>
        </w:rPr>
        <w:t>Fornecimento de manual de operação e manutenção em português;</w:t>
      </w:r>
    </w:p>
    <w:p w:rsidR="006743F6" w:rsidRPr="003F63AA" w:rsidRDefault="006743F6" w:rsidP="006743F6">
      <w:pPr>
        <w:ind w:right="-2"/>
        <w:jc w:val="both"/>
        <w:rPr>
          <w:sz w:val="22"/>
          <w:szCs w:val="22"/>
        </w:rPr>
      </w:pPr>
    </w:p>
    <w:p w:rsidR="006743F6" w:rsidRPr="003F63AA" w:rsidRDefault="006743F6" w:rsidP="003F63AA">
      <w:pPr>
        <w:pStyle w:val="PargrafodaLista"/>
        <w:numPr>
          <w:ilvl w:val="0"/>
          <w:numId w:val="24"/>
        </w:numPr>
        <w:ind w:right="-2"/>
        <w:jc w:val="both"/>
        <w:rPr>
          <w:sz w:val="22"/>
          <w:szCs w:val="22"/>
        </w:rPr>
      </w:pPr>
      <w:r w:rsidRPr="003F63AA">
        <w:rPr>
          <w:sz w:val="22"/>
          <w:szCs w:val="22"/>
        </w:rPr>
        <w:t>Inclusão de treinamento operacional com emissão de certificado aos servidores municipais.</w:t>
      </w:r>
    </w:p>
    <w:p w:rsidR="006743F6" w:rsidRPr="006743F6" w:rsidRDefault="006743F6" w:rsidP="006743F6">
      <w:pPr>
        <w:ind w:right="-2"/>
        <w:jc w:val="both"/>
        <w:rPr>
          <w:b/>
          <w:sz w:val="22"/>
          <w:szCs w:val="22"/>
        </w:rPr>
      </w:pPr>
    </w:p>
    <w:p w:rsidR="006743F6" w:rsidRPr="006743F6" w:rsidRDefault="006743F6" w:rsidP="006743F6">
      <w:pPr>
        <w:ind w:right="-2"/>
        <w:jc w:val="both"/>
        <w:rPr>
          <w:b/>
          <w:sz w:val="22"/>
          <w:szCs w:val="22"/>
        </w:rPr>
      </w:pPr>
      <w:r w:rsidRPr="006743F6">
        <w:rPr>
          <w:b/>
          <w:sz w:val="22"/>
          <w:szCs w:val="22"/>
        </w:rPr>
        <w:t>c) Requisitos Administrativos e Operacionais</w:t>
      </w:r>
    </w:p>
    <w:p w:rsidR="006743F6" w:rsidRPr="006743F6" w:rsidRDefault="006743F6" w:rsidP="006743F6">
      <w:pPr>
        <w:ind w:right="-2"/>
        <w:jc w:val="both"/>
        <w:rPr>
          <w:b/>
          <w:sz w:val="22"/>
          <w:szCs w:val="22"/>
        </w:rPr>
      </w:pPr>
    </w:p>
    <w:p w:rsidR="006743F6" w:rsidRPr="003F63AA" w:rsidRDefault="006743F6" w:rsidP="003F63AA">
      <w:pPr>
        <w:pStyle w:val="PargrafodaLista"/>
        <w:numPr>
          <w:ilvl w:val="0"/>
          <w:numId w:val="25"/>
        </w:numPr>
        <w:ind w:right="-2"/>
        <w:jc w:val="both"/>
        <w:rPr>
          <w:sz w:val="22"/>
          <w:szCs w:val="22"/>
        </w:rPr>
      </w:pPr>
      <w:r w:rsidRPr="003F63AA">
        <w:rPr>
          <w:sz w:val="22"/>
          <w:szCs w:val="22"/>
        </w:rPr>
        <w:t>Entrega do equipamento em até 90 dias da autorização de fornecimento/empenho;</w:t>
      </w:r>
    </w:p>
    <w:p w:rsidR="006743F6" w:rsidRPr="003F63AA" w:rsidRDefault="006743F6" w:rsidP="006743F6">
      <w:pPr>
        <w:ind w:right="-2"/>
        <w:jc w:val="both"/>
        <w:rPr>
          <w:sz w:val="22"/>
          <w:szCs w:val="22"/>
        </w:rPr>
      </w:pPr>
    </w:p>
    <w:p w:rsidR="006743F6" w:rsidRPr="003F63AA" w:rsidRDefault="006743F6" w:rsidP="003F63AA">
      <w:pPr>
        <w:pStyle w:val="PargrafodaLista"/>
        <w:numPr>
          <w:ilvl w:val="0"/>
          <w:numId w:val="25"/>
        </w:numPr>
        <w:ind w:right="-2"/>
        <w:jc w:val="both"/>
        <w:rPr>
          <w:sz w:val="22"/>
          <w:szCs w:val="22"/>
        </w:rPr>
      </w:pPr>
      <w:r w:rsidRPr="003F63AA">
        <w:rPr>
          <w:sz w:val="22"/>
          <w:szCs w:val="22"/>
        </w:rPr>
        <w:t>Entrega com tanque cheio, licenciado e pronto para uso, sem ônus adicional ao Município;</w:t>
      </w:r>
    </w:p>
    <w:p w:rsidR="006743F6" w:rsidRPr="003F63AA" w:rsidRDefault="006743F6" w:rsidP="006743F6">
      <w:pPr>
        <w:ind w:right="-2"/>
        <w:jc w:val="both"/>
        <w:rPr>
          <w:sz w:val="22"/>
          <w:szCs w:val="22"/>
        </w:rPr>
      </w:pPr>
    </w:p>
    <w:p w:rsidR="006743F6" w:rsidRPr="003F63AA" w:rsidRDefault="006743F6" w:rsidP="003F63AA">
      <w:pPr>
        <w:pStyle w:val="PargrafodaLista"/>
        <w:numPr>
          <w:ilvl w:val="0"/>
          <w:numId w:val="25"/>
        </w:numPr>
        <w:ind w:right="-2"/>
        <w:jc w:val="both"/>
        <w:rPr>
          <w:sz w:val="22"/>
          <w:szCs w:val="22"/>
        </w:rPr>
      </w:pPr>
      <w:r w:rsidRPr="003F63AA">
        <w:rPr>
          <w:sz w:val="22"/>
          <w:szCs w:val="22"/>
        </w:rPr>
        <w:t>Responsabilidade da contratada pelo transporte, seguro, tributos e eventuais avarias até a entrega definitiva;</w:t>
      </w:r>
    </w:p>
    <w:p w:rsidR="006743F6" w:rsidRPr="003F63AA" w:rsidRDefault="006743F6" w:rsidP="006743F6">
      <w:pPr>
        <w:ind w:right="-2"/>
        <w:jc w:val="both"/>
        <w:rPr>
          <w:sz w:val="22"/>
          <w:szCs w:val="22"/>
        </w:rPr>
      </w:pPr>
    </w:p>
    <w:p w:rsidR="006743F6" w:rsidRPr="003F63AA" w:rsidRDefault="006743F6" w:rsidP="003F63AA">
      <w:pPr>
        <w:pStyle w:val="PargrafodaLista"/>
        <w:numPr>
          <w:ilvl w:val="0"/>
          <w:numId w:val="25"/>
        </w:numPr>
        <w:ind w:right="-2"/>
        <w:jc w:val="both"/>
        <w:rPr>
          <w:sz w:val="22"/>
          <w:szCs w:val="22"/>
        </w:rPr>
      </w:pPr>
      <w:r w:rsidRPr="003F63AA">
        <w:rPr>
          <w:sz w:val="22"/>
          <w:szCs w:val="22"/>
        </w:rPr>
        <w:lastRenderedPageBreak/>
        <w:t>Proibição de subcontratação do objeto principal;</w:t>
      </w:r>
    </w:p>
    <w:p w:rsidR="006743F6" w:rsidRPr="003F63AA" w:rsidRDefault="006743F6" w:rsidP="006743F6">
      <w:pPr>
        <w:ind w:right="-2"/>
        <w:jc w:val="both"/>
        <w:rPr>
          <w:sz w:val="22"/>
          <w:szCs w:val="22"/>
        </w:rPr>
      </w:pPr>
    </w:p>
    <w:p w:rsidR="006743F6" w:rsidRPr="003F63AA" w:rsidRDefault="006743F6" w:rsidP="003F63AA">
      <w:pPr>
        <w:pStyle w:val="PargrafodaLista"/>
        <w:numPr>
          <w:ilvl w:val="0"/>
          <w:numId w:val="25"/>
        </w:numPr>
        <w:ind w:right="-2"/>
        <w:jc w:val="both"/>
        <w:rPr>
          <w:sz w:val="22"/>
          <w:szCs w:val="22"/>
        </w:rPr>
      </w:pPr>
      <w:r w:rsidRPr="003F63AA">
        <w:rPr>
          <w:sz w:val="22"/>
          <w:szCs w:val="22"/>
        </w:rPr>
        <w:t>Cumprimento integral das condições estabelecidas no Convênio nº 160/2025 – SEAB.</w:t>
      </w:r>
    </w:p>
    <w:p w:rsidR="006743F6" w:rsidRPr="006743F6" w:rsidRDefault="006743F6" w:rsidP="006743F6">
      <w:pPr>
        <w:ind w:right="-2"/>
        <w:jc w:val="both"/>
        <w:rPr>
          <w:b/>
          <w:sz w:val="22"/>
          <w:szCs w:val="22"/>
        </w:rPr>
      </w:pPr>
    </w:p>
    <w:p w:rsidR="006743F6" w:rsidRPr="006743F6" w:rsidRDefault="006743F6" w:rsidP="006743F6">
      <w:pPr>
        <w:ind w:right="-2"/>
        <w:jc w:val="both"/>
        <w:rPr>
          <w:b/>
          <w:sz w:val="22"/>
          <w:szCs w:val="22"/>
        </w:rPr>
      </w:pPr>
      <w:r w:rsidRPr="006743F6">
        <w:rPr>
          <w:b/>
          <w:sz w:val="22"/>
          <w:szCs w:val="22"/>
        </w:rPr>
        <w:t>d) Sustentabilidade e Desempenho Ambiental</w:t>
      </w:r>
    </w:p>
    <w:p w:rsidR="006743F6" w:rsidRPr="006743F6" w:rsidRDefault="006743F6" w:rsidP="006743F6">
      <w:pPr>
        <w:ind w:right="-2"/>
        <w:jc w:val="both"/>
        <w:rPr>
          <w:b/>
          <w:sz w:val="22"/>
          <w:szCs w:val="22"/>
        </w:rPr>
      </w:pPr>
    </w:p>
    <w:p w:rsidR="006743F6" w:rsidRPr="003F63AA" w:rsidRDefault="006743F6" w:rsidP="003F63AA">
      <w:pPr>
        <w:pStyle w:val="PargrafodaLista"/>
        <w:numPr>
          <w:ilvl w:val="0"/>
          <w:numId w:val="26"/>
        </w:numPr>
        <w:ind w:right="-2"/>
        <w:jc w:val="both"/>
        <w:rPr>
          <w:sz w:val="22"/>
          <w:szCs w:val="22"/>
        </w:rPr>
      </w:pPr>
      <w:r w:rsidRPr="003F63AA">
        <w:rPr>
          <w:sz w:val="22"/>
          <w:szCs w:val="22"/>
        </w:rPr>
        <w:t>Motor em conformidade com a Resolução CONAMA nº 490/2018 – PROCONVE MAR III ou superior;</w:t>
      </w:r>
    </w:p>
    <w:p w:rsidR="006743F6" w:rsidRPr="003F63AA" w:rsidRDefault="006743F6" w:rsidP="006743F6">
      <w:pPr>
        <w:ind w:right="-2"/>
        <w:jc w:val="both"/>
        <w:rPr>
          <w:sz w:val="22"/>
          <w:szCs w:val="22"/>
        </w:rPr>
      </w:pPr>
    </w:p>
    <w:p w:rsidR="006743F6" w:rsidRPr="003F63AA" w:rsidRDefault="006743F6" w:rsidP="003F63AA">
      <w:pPr>
        <w:pStyle w:val="PargrafodaLista"/>
        <w:numPr>
          <w:ilvl w:val="0"/>
          <w:numId w:val="26"/>
        </w:numPr>
        <w:ind w:right="-2"/>
        <w:jc w:val="both"/>
        <w:rPr>
          <w:sz w:val="22"/>
          <w:szCs w:val="22"/>
        </w:rPr>
      </w:pPr>
      <w:r w:rsidRPr="003F63AA">
        <w:rPr>
          <w:sz w:val="22"/>
          <w:szCs w:val="22"/>
        </w:rPr>
        <w:t>Otimização de consumo de combustível por meio de controle eletrônico de injeção e transmissão PowerShift;</w:t>
      </w:r>
    </w:p>
    <w:p w:rsidR="006743F6" w:rsidRPr="003F63AA" w:rsidRDefault="006743F6" w:rsidP="006743F6">
      <w:pPr>
        <w:ind w:right="-2"/>
        <w:jc w:val="both"/>
        <w:rPr>
          <w:sz w:val="22"/>
          <w:szCs w:val="22"/>
        </w:rPr>
      </w:pPr>
    </w:p>
    <w:p w:rsidR="006743F6" w:rsidRPr="003F63AA" w:rsidRDefault="006743F6" w:rsidP="003F63AA">
      <w:pPr>
        <w:pStyle w:val="PargrafodaLista"/>
        <w:numPr>
          <w:ilvl w:val="0"/>
          <w:numId w:val="26"/>
        </w:numPr>
        <w:ind w:right="-2"/>
        <w:jc w:val="both"/>
        <w:rPr>
          <w:sz w:val="22"/>
          <w:szCs w:val="22"/>
        </w:rPr>
      </w:pPr>
      <w:r w:rsidRPr="003F63AA">
        <w:rPr>
          <w:sz w:val="22"/>
          <w:szCs w:val="22"/>
        </w:rPr>
        <w:t>Logística reversa e descarte adequado de resíduos (óleos, filtros, pneus, etc.), conforme Lei nº 12.305/2010 (Política Nacional de Resíduos Sólidos);</w:t>
      </w:r>
    </w:p>
    <w:p w:rsidR="006743F6" w:rsidRPr="003F63AA" w:rsidRDefault="006743F6" w:rsidP="006743F6">
      <w:pPr>
        <w:ind w:right="-2"/>
        <w:jc w:val="both"/>
        <w:rPr>
          <w:sz w:val="22"/>
          <w:szCs w:val="22"/>
        </w:rPr>
      </w:pPr>
    </w:p>
    <w:p w:rsidR="006743F6" w:rsidRPr="003F63AA" w:rsidRDefault="006743F6" w:rsidP="003F63AA">
      <w:pPr>
        <w:pStyle w:val="PargrafodaLista"/>
        <w:numPr>
          <w:ilvl w:val="0"/>
          <w:numId w:val="26"/>
        </w:numPr>
        <w:ind w:right="-2"/>
        <w:jc w:val="both"/>
        <w:rPr>
          <w:sz w:val="22"/>
          <w:szCs w:val="22"/>
        </w:rPr>
      </w:pPr>
      <w:r w:rsidRPr="003F63AA">
        <w:rPr>
          <w:sz w:val="22"/>
          <w:szCs w:val="22"/>
        </w:rPr>
        <w:t>Estrutura com vida útil mínima estimada de 8 a 10 anos, mediante manutenção preventiva;</w:t>
      </w:r>
    </w:p>
    <w:p w:rsidR="006743F6" w:rsidRPr="003F63AA" w:rsidRDefault="006743F6" w:rsidP="006743F6">
      <w:pPr>
        <w:ind w:right="-2"/>
        <w:jc w:val="both"/>
        <w:rPr>
          <w:sz w:val="22"/>
          <w:szCs w:val="22"/>
        </w:rPr>
      </w:pPr>
    </w:p>
    <w:p w:rsidR="0037537F" w:rsidRPr="003F63AA" w:rsidRDefault="006743F6" w:rsidP="003F63AA">
      <w:pPr>
        <w:pStyle w:val="PargrafodaLista"/>
        <w:numPr>
          <w:ilvl w:val="0"/>
          <w:numId w:val="26"/>
        </w:numPr>
        <w:ind w:right="-2"/>
        <w:jc w:val="both"/>
        <w:rPr>
          <w:sz w:val="22"/>
          <w:szCs w:val="22"/>
        </w:rPr>
      </w:pPr>
      <w:r w:rsidRPr="003F63AA">
        <w:rPr>
          <w:sz w:val="22"/>
          <w:szCs w:val="22"/>
        </w:rPr>
        <w:t>Cabine com isolamento acústico e ergonomia para redução de ruído ocupacional.</w:t>
      </w:r>
    </w:p>
    <w:p w:rsidR="0037537F" w:rsidRPr="003F63AA" w:rsidRDefault="0037537F" w:rsidP="0037537F">
      <w:pPr>
        <w:ind w:right="-2"/>
        <w:jc w:val="both"/>
        <w:rPr>
          <w:sz w:val="22"/>
          <w:szCs w:val="22"/>
        </w:rPr>
      </w:pPr>
    </w:p>
    <w:p w:rsidR="003F63AA" w:rsidRPr="003F63AA" w:rsidRDefault="005964FB" w:rsidP="003F63AA">
      <w:pPr>
        <w:pStyle w:val="CabealhoeRodap"/>
        <w:ind w:right="-2"/>
        <w:jc w:val="both"/>
        <w:rPr>
          <w:sz w:val="22"/>
          <w:szCs w:val="22"/>
        </w:rPr>
      </w:pPr>
      <w:r>
        <w:rPr>
          <w:b/>
          <w:sz w:val="22"/>
          <w:szCs w:val="22"/>
        </w:rPr>
        <w:t xml:space="preserve">1.5. Amostra: </w:t>
      </w:r>
      <w:r w:rsidR="003F63AA" w:rsidRPr="003F63AA">
        <w:rPr>
          <w:sz w:val="22"/>
          <w:szCs w:val="22"/>
        </w:rPr>
        <w:t>Considerando que o objeto desta contratação trata-se de pá carregadeira nova, zero hora, última série de fabricação, com especificações padronizadas e amplamente disponíveis no mercado, não será exigida a apresentação de amostra física antes da contratação, em razão da inviabilidade técnica e econômica de disponibilização do bem para avaliação prévia.</w:t>
      </w:r>
    </w:p>
    <w:p w:rsidR="003F63AA" w:rsidRPr="003F63AA" w:rsidRDefault="003F63AA" w:rsidP="003F63AA">
      <w:pPr>
        <w:pStyle w:val="CabealhoeRodap"/>
        <w:ind w:right="-2"/>
        <w:jc w:val="both"/>
        <w:rPr>
          <w:sz w:val="22"/>
          <w:szCs w:val="22"/>
        </w:rPr>
      </w:pPr>
    </w:p>
    <w:p w:rsidR="003F63AA" w:rsidRPr="003F63AA" w:rsidRDefault="003F63AA" w:rsidP="003F63AA">
      <w:pPr>
        <w:pStyle w:val="CabealhoeRodap"/>
        <w:ind w:right="-2"/>
        <w:jc w:val="both"/>
        <w:rPr>
          <w:sz w:val="22"/>
          <w:szCs w:val="22"/>
        </w:rPr>
      </w:pPr>
      <w:r w:rsidRPr="003F63AA">
        <w:rPr>
          <w:sz w:val="22"/>
          <w:szCs w:val="22"/>
        </w:rPr>
        <w:t>Em substituição à amostra física, será exigida a apresentação de catálogo técnico oficial do fabricante e declaração de conformidade emitida pela própria fabricante ou representante autorizado, contendo todas as informações detalhadas que comprovem o atendimento integral às especificações estabelecidas neste Estudo Técnico Preliminar e no Termo de Referência.</w:t>
      </w:r>
    </w:p>
    <w:p w:rsidR="003F63AA" w:rsidRPr="003F63AA" w:rsidRDefault="003F63AA" w:rsidP="003F63AA">
      <w:pPr>
        <w:pStyle w:val="CabealhoeRodap"/>
        <w:ind w:right="-2"/>
        <w:jc w:val="both"/>
        <w:rPr>
          <w:sz w:val="22"/>
          <w:szCs w:val="22"/>
        </w:rPr>
      </w:pPr>
    </w:p>
    <w:p w:rsidR="00D677D8" w:rsidRDefault="003F63AA" w:rsidP="003F63AA">
      <w:pPr>
        <w:pStyle w:val="CabealhoeRodap"/>
        <w:ind w:right="-2"/>
        <w:jc w:val="both"/>
        <w:rPr>
          <w:b/>
          <w:sz w:val="22"/>
          <w:szCs w:val="22"/>
        </w:rPr>
      </w:pPr>
      <w:r w:rsidRPr="003F63AA">
        <w:rPr>
          <w:sz w:val="22"/>
          <w:szCs w:val="22"/>
        </w:rPr>
        <w:t>O recebimento provisório e definitivo do equipamento ficará condicionado à verificação física e funcional de todos os requisitos técnicos, operacionais e de desempenho, no ato da entrega, conforme dispõe o art. 141 da Lei nº 14.133/2021, o Decreto Municipal nº 3.537/2023 e as cláusulas contratuais, sendo direito da Administração rejeitar o bem caso não atenda integralmente às especificações exigidas.</w:t>
      </w:r>
    </w:p>
    <w:p w:rsidR="001C3A75" w:rsidRDefault="001C3A75" w:rsidP="003F63AA">
      <w:pPr>
        <w:pStyle w:val="CabealhoeRodap"/>
        <w:ind w:right="-2"/>
        <w:jc w:val="both"/>
        <w:rPr>
          <w:b/>
          <w:sz w:val="22"/>
          <w:szCs w:val="22"/>
        </w:rPr>
      </w:pPr>
    </w:p>
    <w:p w:rsidR="003F63AA" w:rsidRPr="003F63AA" w:rsidRDefault="005964FB" w:rsidP="003F63AA">
      <w:pPr>
        <w:pStyle w:val="CabealhoeRodap"/>
        <w:ind w:right="-2"/>
        <w:jc w:val="both"/>
        <w:rPr>
          <w:sz w:val="22"/>
          <w:szCs w:val="22"/>
        </w:rPr>
      </w:pPr>
      <w:bookmarkStart w:id="2" w:name="_GoBack"/>
      <w:bookmarkEnd w:id="2"/>
      <w:r>
        <w:rPr>
          <w:b/>
          <w:sz w:val="22"/>
          <w:szCs w:val="22"/>
        </w:rPr>
        <w:t xml:space="preserve">1.6. Os critérios de sustentabilidade: </w:t>
      </w:r>
      <w:r w:rsidR="003F63AA" w:rsidRPr="003F63AA">
        <w:rPr>
          <w:sz w:val="22"/>
          <w:szCs w:val="22"/>
        </w:rPr>
        <w:t>A presente contratação observará, no que couber, os critérios de sustentabilidade ambiental previstos no art. 25 da Lei nº 14.133/2021, no Decreto Municipal nº 3.537/2023, na Lei nº 12.305/2010 (Política Nacional de Resíduos Sólidos) e no Decreto nº 10.936/2022, compatíveis com a natureza e especificações da pá carregadeira objeto deste Estudo Técnico Prelim</w:t>
      </w:r>
      <w:r w:rsidR="003F63AA" w:rsidRPr="003F63AA">
        <w:rPr>
          <w:sz w:val="22"/>
          <w:szCs w:val="22"/>
        </w:rPr>
        <w:t>i</w:t>
      </w:r>
      <w:r w:rsidR="003F63AA" w:rsidRPr="003F63AA">
        <w:rPr>
          <w:sz w:val="22"/>
          <w:szCs w:val="22"/>
        </w:rPr>
        <w:t>nar.Nesse sentido, deverão ser atendidos os seguintes parâmetros:</w:t>
      </w:r>
    </w:p>
    <w:p w:rsidR="003F63AA" w:rsidRPr="003F63AA" w:rsidRDefault="003F63AA" w:rsidP="003F63AA">
      <w:pPr>
        <w:pStyle w:val="CabealhoeRodap"/>
        <w:ind w:right="-2"/>
        <w:jc w:val="both"/>
        <w:rPr>
          <w:sz w:val="22"/>
          <w:szCs w:val="22"/>
        </w:rPr>
      </w:pPr>
    </w:p>
    <w:p w:rsidR="003F63AA" w:rsidRPr="003F63AA" w:rsidRDefault="003F63AA" w:rsidP="003F63AA">
      <w:pPr>
        <w:pStyle w:val="CabealhoeRodap"/>
        <w:ind w:right="-2"/>
        <w:jc w:val="both"/>
        <w:rPr>
          <w:sz w:val="22"/>
          <w:szCs w:val="22"/>
        </w:rPr>
      </w:pPr>
      <w:r w:rsidRPr="003F63AA">
        <w:rPr>
          <w:sz w:val="22"/>
          <w:szCs w:val="22"/>
        </w:rPr>
        <w:t>a) Eficiência energética e controle de emissões: utilização de motor a diesel em conformidade com a R</w:t>
      </w:r>
      <w:r w:rsidRPr="003F63AA">
        <w:rPr>
          <w:sz w:val="22"/>
          <w:szCs w:val="22"/>
        </w:rPr>
        <w:t>e</w:t>
      </w:r>
      <w:r w:rsidRPr="003F63AA">
        <w:rPr>
          <w:sz w:val="22"/>
          <w:szCs w:val="22"/>
        </w:rPr>
        <w:t>solução CONAMA nº 490/2018 (PROCONVE MAR III ou superior), garantindo redução da emissão de poluentes e menor impacto ambiental, além da otimização do consumo de combustível por meio de tecn</w:t>
      </w:r>
      <w:r w:rsidRPr="003F63AA">
        <w:rPr>
          <w:sz w:val="22"/>
          <w:szCs w:val="22"/>
        </w:rPr>
        <w:t>o</w:t>
      </w:r>
      <w:r w:rsidRPr="003F63AA">
        <w:rPr>
          <w:sz w:val="22"/>
          <w:szCs w:val="22"/>
        </w:rPr>
        <w:t>logias de controle eletrônico de injeção e transmissão.</w:t>
      </w:r>
    </w:p>
    <w:p w:rsidR="003F63AA" w:rsidRPr="003F63AA" w:rsidRDefault="003F63AA" w:rsidP="003F63AA">
      <w:pPr>
        <w:pStyle w:val="CabealhoeRodap"/>
        <w:ind w:right="-2"/>
        <w:jc w:val="both"/>
        <w:rPr>
          <w:sz w:val="22"/>
          <w:szCs w:val="22"/>
        </w:rPr>
      </w:pPr>
    </w:p>
    <w:p w:rsidR="003F63AA" w:rsidRPr="003F63AA" w:rsidRDefault="003F63AA" w:rsidP="003F63AA">
      <w:pPr>
        <w:pStyle w:val="CabealhoeRodap"/>
        <w:ind w:right="-2"/>
        <w:jc w:val="both"/>
        <w:rPr>
          <w:sz w:val="22"/>
          <w:szCs w:val="22"/>
        </w:rPr>
      </w:pPr>
      <w:r w:rsidRPr="003F63AA">
        <w:rPr>
          <w:sz w:val="22"/>
          <w:szCs w:val="22"/>
        </w:rPr>
        <w:t>b) Durabilidade e reaproveitamento: estrutura e componentes projetados para longa vida útil (mínimo estimado de 8 anos), com disponibilidade de peças de reposição e assistência técnica autorizada no Estado do Paraná, assegurando a manutenção prolongada do equipamento e o reaproveitamento de componentes.</w:t>
      </w:r>
    </w:p>
    <w:p w:rsidR="003F63AA" w:rsidRPr="003F63AA" w:rsidRDefault="003F63AA" w:rsidP="003F63AA">
      <w:pPr>
        <w:pStyle w:val="CabealhoeRodap"/>
        <w:ind w:right="-2"/>
        <w:jc w:val="both"/>
        <w:rPr>
          <w:sz w:val="22"/>
          <w:szCs w:val="22"/>
        </w:rPr>
      </w:pPr>
    </w:p>
    <w:p w:rsidR="003F63AA" w:rsidRPr="003F63AA" w:rsidRDefault="003F63AA" w:rsidP="003F63AA">
      <w:pPr>
        <w:pStyle w:val="CabealhoeRodap"/>
        <w:ind w:right="-2"/>
        <w:jc w:val="both"/>
        <w:rPr>
          <w:sz w:val="22"/>
          <w:szCs w:val="22"/>
        </w:rPr>
      </w:pPr>
      <w:r w:rsidRPr="003F63AA">
        <w:rPr>
          <w:sz w:val="22"/>
          <w:szCs w:val="22"/>
        </w:rPr>
        <w:t>c) Logística reversa e gestão de resíduos: cumprimento das obrigações legais quanto à destinação ambie</w:t>
      </w:r>
      <w:r w:rsidRPr="003F63AA">
        <w:rPr>
          <w:sz w:val="22"/>
          <w:szCs w:val="22"/>
        </w:rPr>
        <w:t>n</w:t>
      </w:r>
      <w:r w:rsidRPr="003F63AA">
        <w:rPr>
          <w:sz w:val="22"/>
          <w:szCs w:val="22"/>
        </w:rPr>
        <w:t xml:space="preserve">talmente adequada de peças e resíduos oriundos das manutenções preventivas e corretivas, incluindo </w:t>
      </w:r>
      <w:r w:rsidRPr="003F63AA">
        <w:rPr>
          <w:sz w:val="22"/>
          <w:szCs w:val="22"/>
        </w:rPr>
        <w:t>ó</w:t>
      </w:r>
      <w:r w:rsidRPr="003F63AA">
        <w:rPr>
          <w:sz w:val="22"/>
          <w:szCs w:val="22"/>
        </w:rPr>
        <w:t>leos, filtros e pneus inservíveis, sob responsabilidade integral da contratada.</w:t>
      </w:r>
    </w:p>
    <w:p w:rsidR="003F63AA" w:rsidRPr="003F63AA" w:rsidRDefault="003F63AA" w:rsidP="003F63AA">
      <w:pPr>
        <w:pStyle w:val="CabealhoeRodap"/>
        <w:ind w:right="-2"/>
        <w:jc w:val="both"/>
        <w:rPr>
          <w:sz w:val="22"/>
          <w:szCs w:val="22"/>
        </w:rPr>
      </w:pPr>
    </w:p>
    <w:p w:rsidR="003F63AA" w:rsidRPr="003F63AA" w:rsidRDefault="003F63AA" w:rsidP="003F63AA">
      <w:pPr>
        <w:pStyle w:val="CabealhoeRodap"/>
        <w:ind w:right="-2"/>
        <w:jc w:val="both"/>
        <w:rPr>
          <w:sz w:val="22"/>
          <w:szCs w:val="22"/>
        </w:rPr>
      </w:pPr>
      <w:r w:rsidRPr="003F63AA">
        <w:rPr>
          <w:sz w:val="22"/>
          <w:szCs w:val="22"/>
        </w:rPr>
        <w:t>d) Redução de impacto operacional: utilização de pneus adequados ao tráfego em áreas rurais, visando mitigar erosões e compactação do solo; cabine com isolamento acústico e ergonomia para redução do ruído ocupacional e promoção de melhores condições de trabalho ao operador.</w:t>
      </w:r>
    </w:p>
    <w:p w:rsidR="003F63AA" w:rsidRPr="003F63AA" w:rsidRDefault="003F63AA" w:rsidP="003F63AA">
      <w:pPr>
        <w:pStyle w:val="CabealhoeRodap"/>
        <w:ind w:right="-2"/>
        <w:jc w:val="both"/>
        <w:rPr>
          <w:sz w:val="22"/>
          <w:szCs w:val="22"/>
        </w:rPr>
      </w:pPr>
    </w:p>
    <w:p w:rsidR="003F63AA" w:rsidRPr="003F63AA" w:rsidRDefault="003F63AA" w:rsidP="003F63AA">
      <w:pPr>
        <w:pStyle w:val="CabealhoeRodap"/>
        <w:ind w:right="-2"/>
        <w:jc w:val="both"/>
        <w:rPr>
          <w:sz w:val="22"/>
          <w:szCs w:val="22"/>
        </w:rPr>
      </w:pPr>
      <w:r w:rsidRPr="003F63AA">
        <w:rPr>
          <w:sz w:val="22"/>
          <w:szCs w:val="22"/>
        </w:rPr>
        <w:t>e) Transporte e logística: planejamento da entrega que minimize deslocamentos desnecessários, adotando rotas otimizadas para reduzir a emissão de gases de efeito estufa durante o transporte do equipamento até a sede do Município.</w:t>
      </w:r>
    </w:p>
    <w:p w:rsidR="003F63AA" w:rsidRPr="003F63AA" w:rsidRDefault="003F63AA" w:rsidP="003F63AA">
      <w:pPr>
        <w:pStyle w:val="CabealhoeRodap"/>
        <w:ind w:right="-2"/>
        <w:jc w:val="both"/>
        <w:rPr>
          <w:sz w:val="22"/>
          <w:szCs w:val="22"/>
        </w:rPr>
      </w:pPr>
    </w:p>
    <w:p w:rsidR="00D677D8" w:rsidRDefault="003F63AA" w:rsidP="003F63AA">
      <w:pPr>
        <w:pStyle w:val="CabealhoeRodap"/>
        <w:ind w:right="-2"/>
        <w:jc w:val="both"/>
        <w:rPr>
          <w:sz w:val="22"/>
          <w:szCs w:val="22"/>
        </w:rPr>
      </w:pPr>
      <w:r w:rsidRPr="003F63AA">
        <w:rPr>
          <w:sz w:val="22"/>
          <w:szCs w:val="22"/>
        </w:rPr>
        <w:t>A adoção desses critérios assegura que a contratação atenda não apenas à demanda operacional da Secr</w:t>
      </w:r>
      <w:r w:rsidRPr="003F63AA">
        <w:rPr>
          <w:sz w:val="22"/>
          <w:szCs w:val="22"/>
        </w:rPr>
        <w:t>e</w:t>
      </w:r>
      <w:r w:rsidRPr="003F63AA">
        <w:rPr>
          <w:sz w:val="22"/>
          <w:szCs w:val="22"/>
        </w:rPr>
        <w:t>taria Municipal de Agricultura, mas também aos compromissos institucionais com a sustentabilidade a</w:t>
      </w:r>
      <w:r w:rsidRPr="003F63AA">
        <w:rPr>
          <w:sz w:val="22"/>
          <w:szCs w:val="22"/>
        </w:rPr>
        <w:t>m</w:t>
      </w:r>
      <w:r w:rsidRPr="003F63AA">
        <w:rPr>
          <w:sz w:val="22"/>
          <w:szCs w:val="22"/>
        </w:rPr>
        <w:t>biental, a eficiência na aplicação de recursos públicos e a responsabilidade socioambiental.</w:t>
      </w:r>
    </w:p>
    <w:p w:rsidR="003F63AA" w:rsidRDefault="003F63AA" w:rsidP="003F63AA">
      <w:pPr>
        <w:pStyle w:val="CabealhoeRodap"/>
        <w:ind w:right="-2"/>
        <w:jc w:val="both"/>
        <w:rPr>
          <w:sz w:val="22"/>
          <w:szCs w:val="22"/>
        </w:rPr>
      </w:pPr>
    </w:p>
    <w:p w:rsidR="003F63AA" w:rsidRPr="003F63AA" w:rsidRDefault="005964FB" w:rsidP="003F63AA">
      <w:pPr>
        <w:pStyle w:val="CabealhoeRodap"/>
        <w:ind w:right="-2"/>
        <w:jc w:val="both"/>
        <w:rPr>
          <w:sz w:val="22"/>
          <w:szCs w:val="22"/>
        </w:rPr>
      </w:pPr>
      <w:r>
        <w:rPr>
          <w:b/>
          <w:sz w:val="22"/>
          <w:szCs w:val="22"/>
        </w:rPr>
        <w:t xml:space="preserve">1.7. Critérios de Medição e Pagamento: </w:t>
      </w:r>
      <w:r w:rsidR="003F63AA" w:rsidRPr="003F63AA">
        <w:rPr>
          <w:sz w:val="22"/>
          <w:szCs w:val="22"/>
        </w:rPr>
        <w:t>A presente contratação tem por objeto a aquisição de 01 (uma) pá carregadeira, nova, zero hora, última série de fabricação, cujo fornecimento será realizado em parcela única, com pagamento condicionado à entrega integral do bem, acompanhado da documentação fiscal regular e do cumprimento de todas as obrigações contratuais, em conformidade com as condições estab</w:t>
      </w:r>
      <w:r w:rsidR="003F63AA" w:rsidRPr="003F63AA">
        <w:rPr>
          <w:sz w:val="22"/>
          <w:szCs w:val="22"/>
        </w:rPr>
        <w:t>e</w:t>
      </w:r>
      <w:r w:rsidR="003F63AA" w:rsidRPr="003F63AA">
        <w:rPr>
          <w:sz w:val="22"/>
          <w:szCs w:val="22"/>
        </w:rPr>
        <w:t>lecidas no edital e no Contrato Administrativo decorrente do Pregão Eletrônico, nos termos do Convênio nº 160/2025 – SEAB.</w:t>
      </w:r>
    </w:p>
    <w:p w:rsidR="003F63AA" w:rsidRPr="003F63AA" w:rsidRDefault="003F63AA" w:rsidP="003F63AA">
      <w:pPr>
        <w:pStyle w:val="CabealhoeRodap"/>
        <w:ind w:right="-2"/>
        <w:jc w:val="both"/>
        <w:rPr>
          <w:sz w:val="22"/>
          <w:szCs w:val="22"/>
        </w:rPr>
      </w:pPr>
    </w:p>
    <w:p w:rsidR="003F63AA" w:rsidRPr="003F63AA" w:rsidRDefault="003F63AA" w:rsidP="003F63AA">
      <w:pPr>
        <w:pStyle w:val="CabealhoeRodap"/>
        <w:ind w:right="-2"/>
        <w:jc w:val="both"/>
        <w:rPr>
          <w:sz w:val="22"/>
          <w:szCs w:val="22"/>
        </w:rPr>
      </w:pPr>
      <w:r w:rsidRPr="003F63AA">
        <w:rPr>
          <w:sz w:val="22"/>
          <w:szCs w:val="22"/>
        </w:rPr>
        <w:t>1.7.1. Medição e Recebimento</w:t>
      </w:r>
    </w:p>
    <w:p w:rsidR="003F63AA" w:rsidRPr="003F63AA" w:rsidRDefault="003F63AA" w:rsidP="003F63AA">
      <w:pPr>
        <w:pStyle w:val="CabealhoeRodap"/>
        <w:ind w:right="-2"/>
        <w:jc w:val="both"/>
        <w:rPr>
          <w:sz w:val="22"/>
          <w:szCs w:val="22"/>
        </w:rPr>
      </w:pPr>
      <w:r w:rsidRPr="003F63AA">
        <w:rPr>
          <w:sz w:val="22"/>
          <w:szCs w:val="22"/>
        </w:rPr>
        <w:t>a) A medição do objeto contratado ocorrerá por meio de verificação técnica e administrativa, abrangendo:</w:t>
      </w:r>
    </w:p>
    <w:p w:rsidR="003F63AA" w:rsidRPr="003F63AA" w:rsidRDefault="003F63AA" w:rsidP="003F63AA">
      <w:pPr>
        <w:pStyle w:val="CabealhoeRodap"/>
        <w:ind w:right="-2"/>
        <w:jc w:val="both"/>
        <w:rPr>
          <w:sz w:val="22"/>
          <w:szCs w:val="22"/>
        </w:rPr>
      </w:pPr>
      <w:r w:rsidRPr="003F63AA">
        <w:rPr>
          <w:sz w:val="22"/>
          <w:szCs w:val="22"/>
        </w:rPr>
        <w:t>b) Conferência física, visual e funcional do equipamento entregue, por inspeção realizada por servidor designado pela Administração;</w:t>
      </w:r>
    </w:p>
    <w:p w:rsidR="003F63AA" w:rsidRPr="003F63AA" w:rsidRDefault="003F63AA" w:rsidP="003F63AA">
      <w:pPr>
        <w:pStyle w:val="CabealhoeRodap"/>
        <w:ind w:right="-2"/>
        <w:jc w:val="both"/>
        <w:rPr>
          <w:sz w:val="22"/>
          <w:szCs w:val="22"/>
        </w:rPr>
      </w:pPr>
      <w:r w:rsidRPr="003F63AA">
        <w:rPr>
          <w:sz w:val="22"/>
          <w:szCs w:val="22"/>
        </w:rPr>
        <w:t>c) Verificação do atendimento integral às especificações técnicas constantes neste Estudo Técnico Prel</w:t>
      </w:r>
      <w:r w:rsidRPr="003F63AA">
        <w:rPr>
          <w:sz w:val="22"/>
          <w:szCs w:val="22"/>
        </w:rPr>
        <w:t>i</w:t>
      </w:r>
      <w:r w:rsidRPr="003F63AA">
        <w:rPr>
          <w:sz w:val="22"/>
          <w:szCs w:val="22"/>
        </w:rPr>
        <w:t>minar e no edital do Pregão Eletrônico correspondente;</w:t>
      </w:r>
    </w:p>
    <w:p w:rsidR="003F63AA" w:rsidRPr="003F63AA" w:rsidRDefault="003F63AA" w:rsidP="003F63AA">
      <w:pPr>
        <w:pStyle w:val="CabealhoeRodap"/>
        <w:ind w:right="-2"/>
        <w:jc w:val="both"/>
        <w:rPr>
          <w:sz w:val="22"/>
          <w:szCs w:val="22"/>
        </w:rPr>
      </w:pPr>
      <w:r w:rsidRPr="003F63AA">
        <w:rPr>
          <w:sz w:val="22"/>
          <w:szCs w:val="22"/>
        </w:rPr>
        <w:t>d) Apresentação da Nota Fiscal regular, acompanhada dos documentos obrigatórios: certificado de gara</w:t>
      </w:r>
      <w:r w:rsidRPr="003F63AA">
        <w:rPr>
          <w:sz w:val="22"/>
          <w:szCs w:val="22"/>
        </w:rPr>
        <w:t>n</w:t>
      </w:r>
      <w:r w:rsidRPr="003F63AA">
        <w:rPr>
          <w:sz w:val="22"/>
          <w:szCs w:val="22"/>
        </w:rPr>
        <w:t>tia, manual técnico e de manutenção em língua portuguesa, e checklist da entrega técnica;</w:t>
      </w:r>
    </w:p>
    <w:p w:rsidR="003F63AA" w:rsidRPr="003F63AA" w:rsidRDefault="003F63AA" w:rsidP="003F63AA">
      <w:pPr>
        <w:pStyle w:val="CabealhoeRodap"/>
        <w:ind w:right="-2"/>
        <w:jc w:val="both"/>
        <w:rPr>
          <w:sz w:val="22"/>
          <w:szCs w:val="22"/>
        </w:rPr>
      </w:pPr>
      <w:r w:rsidRPr="003F63AA">
        <w:rPr>
          <w:sz w:val="22"/>
          <w:szCs w:val="22"/>
        </w:rPr>
        <w:t>e) Comprovação da entrega técnica e do treinamento prático-operacional aos servidores designados, com emissão do respectivo certificado;</w:t>
      </w:r>
    </w:p>
    <w:p w:rsidR="003F63AA" w:rsidRPr="003F63AA" w:rsidRDefault="003F63AA" w:rsidP="003F63AA">
      <w:pPr>
        <w:pStyle w:val="CabealhoeRodap"/>
        <w:ind w:right="-2"/>
        <w:jc w:val="both"/>
        <w:rPr>
          <w:sz w:val="22"/>
          <w:szCs w:val="22"/>
        </w:rPr>
      </w:pPr>
      <w:r w:rsidRPr="003F63AA">
        <w:rPr>
          <w:sz w:val="22"/>
          <w:szCs w:val="22"/>
        </w:rPr>
        <w:t>f) Emissão do Termo de Recebimento Definitivo, assinado por servidor competente, atestando o cumpr</w:t>
      </w:r>
      <w:r w:rsidRPr="003F63AA">
        <w:rPr>
          <w:sz w:val="22"/>
          <w:szCs w:val="22"/>
        </w:rPr>
        <w:t>i</w:t>
      </w:r>
      <w:r w:rsidRPr="003F63AA">
        <w:rPr>
          <w:sz w:val="22"/>
          <w:szCs w:val="22"/>
        </w:rPr>
        <w:t>mento integral de todas as obrigações contratuais.</w:t>
      </w:r>
    </w:p>
    <w:p w:rsidR="003F63AA" w:rsidRPr="003F63AA" w:rsidRDefault="003F63AA" w:rsidP="003F63AA">
      <w:pPr>
        <w:pStyle w:val="CabealhoeRodap"/>
        <w:ind w:right="-2"/>
        <w:jc w:val="both"/>
        <w:rPr>
          <w:sz w:val="22"/>
          <w:szCs w:val="22"/>
        </w:rPr>
      </w:pPr>
    </w:p>
    <w:p w:rsidR="003F63AA" w:rsidRPr="003F63AA" w:rsidRDefault="003F63AA" w:rsidP="003F63AA">
      <w:pPr>
        <w:pStyle w:val="CabealhoeRodap"/>
        <w:ind w:right="-2"/>
        <w:jc w:val="both"/>
        <w:rPr>
          <w:sz w:val="22"/>
          <w:szCs w:val="22"/>
        </w:rPr>
      </w:pPr>
      <w:r w:rsidRPr="003F63AA">
        <w:rPr>
          <w:sz w:val="22"/>
          <w:szCs w:val="22"/>
        </w:rPr>
        <w:t>1.7.2. Condições de Pagamento</w:t>
      </w:r>
    </w:p>
    <w:p w:rsidR="003F63AA" w:rsidRPr="003F63AA" w:rsidRDefault="003F63AA" w:rsidP="003F63AA">
      <w:pPr>
        <w:pStyle w:val="CabealhoeRodap"/>
        <w:ind w:right="-2"/>
        <w:jc w:val="both"/>
        <w:rPr>
          <w:sz w:val="22"/>
          <w:szCs w:val="22"/>
        </w:rPr>
      </w:pPr>
      <w:r w:rsidRPr="003F63AA">
        <w:rPr>
          <w:sz w:val="22"/>
          <w:szCs w:val="22"/>
        </w:rPr>
        <w:t>a) O pagamento será realizado em parcela única, mediante transferência bancária para conta corrente i</w:t>
      </w:r>
      <w:r w:rsidRPr="003F63AA">
        <w:rPr>
          <w:sz w:val="22"/>
          <w:szCs w:val="22"/>
        </w:rPr>
        <w:t>n</w:t>
      </w:r>
      <w:r w:rsidRPr="003F63AA">
        <w:rPr>
          <w:sz w:val="22"/>
          <w:szCs w:val="22"/>
        </w:rPr>
        <w:t>dicada pelo fornecedor;</w:t>
      </w:r>
    </w:p>
    <w:p w:rsidR="003F63AA" w:rsidRPr="003F63AA" w:rsidRDefault="003F63AA" w:rsidP="003F63AA">
      <w:pPr>
        <w:pStyle w:val="CabealhoeRodap"/>
        <w:ind w:right="-2"/>
        <w:jc w:val="both"/>
        <w:rPr>
          <w:sz w:val="22"/>
          <w:szCs w:val="22"/>
        </w:rPr>
      </w:pPr>
      <w:r w:rsidRPr="003F63AA">
        <w:rPr>
          <w:sz w:val="22"/>
          <w:szCs w:val="22"/>
        </w:rPr>
        <w:t>b) Será devido somente após a emissão do Termo de Recebimento Definitivo, desde que não haja pe</w:t>
      </w:r>
      <w:r w:rsidRPr="003F63AA">
        <w:rPr>
          <w:sz w:val="22"/>
          <w:szCs w:val="22"/>
        </w:rPr>
        <w:t>n</w:t>
      </w:r>
      <w:r w:rsidRPr="003F63AA">
        <w:rPr>
          <w:sz w:val="22"/>
          <w:szCs w:val="22"/>
        </w:rPr>
        <w:t>dências fiscais, trabalhistas ou previdenciárias em nome da contratada;</w:t>
      </w:r>
    </w:p>
    <w:p w:rsidR="003F63AA" w:rsidRPr="003F63AA" w:rsidRDefault="003F63AA" w:rsidP="003F63AA">
      <w:pPr>
        <w:pStyle w:val="CabealhoeRodap"/>
        <w:ind w:right="-2"/>
        <w:jc w:val="both"/>
        <w:rPr>
          <w:sz w:val="22"/>
          <w:szCs w:val="22"/>
        </w:rPr>
      </w:pPr>
      <w:r w:rsidRPr="003F63AA">
        <w:rPr>
          <w:sz w:val="22"/>
          <w:szCs w:val="22"/>
        </w:rPr>
        <w:t>c) Deverá ocorrer dentro do prazo contratualmente previsto, contado da data de conclusão de todas as etapas mencionadas.</w:t>
      </w:r>
    </w:p>
    <w:p w:rsidR="003F63AA" w:rsidRPr="003F63AA" w:rsidRDefault="003F63AA" w:rsidP="003F63AA">
      <w:pPr>
        <w:pStyle w:val="CabealhoeRodap"/>
        <w:ind w:right="-2"/>
        <w:jc w:val="both"/>
        <w:rPr>
          <w:sz w:val="22"/>
          <w:szCs w:val="22"/>
        </w:rPr>
      </w:pPr>
    </w:p>
    <w:p w:rsidR="003F63AA" w:rsidRPr="003F63AA" w:rsidRDefault="003F63AA" w:rsidP="003F63AA">
      <w:pPr>
        <w:pStyle w:val="CabealhoeRodap"/>
        <w:ind w:right="-2"/>
        <w:jc w:val="both"/>
        <w:rPr>
          <w:sz w:val="22"/>
          <w:szCs w:val="22"/>
        </w:rPr>
      </w:pPr>
      <w:r w:rsidRPr="003F63AA">
        <w:rPr>
          <w:sz w:val="22"/>
          <w:szCs w:val="22"/>
        </w:rPr>
        <w:t>1.7.3. Observações Adicionais</w:t>
      </w:r>
    </w:p>
    <w:p w:rsidR="003F63AA" w:rsidRPr="003F63AA" w:rsidRDefault="003F63AA" w:rsidP="003F63AA">
      <w:pPr>
        <w:pStyle w:val="CabealhoeRodap"/>
        <w:ind w:right="-2"/>
        <w:jc w:val="both"/>
        <w:rPr>
          <w:sz w:val="22"/>
          <w:szCs w:val="22"/>
        </w:rPr>
      </w:pPr>
      <w:r w:rsidRPr="003F63AA">
        <w:rPr>
          <w:sz w:val="22"/>
          <w:szCs w:val="22"/>
        </w:rPr>
        <w:t>a) A entrega deverá ocorrer com tanque de combustível cheio, sendo de responsabilidade exclusiva da contratada todas as despesas com transporte, seguro, encargos logísticos, tributos e eventuais danos até a entrega definitiva;</w:t>
      </w:r>
    </w:p>
    <w:p w:rsidR="003F63AA" w:rsidRPr="003F63AA" w:rsidRDefault="003F63AA" w:rsidP="003F63AA">
      <w:pPr>
        <w:pStyle w:val="CabealhoeRodap"/>
        <w:ind w:right="-2"/>
        <w:jc w:val="both"/>
        <w:rPr>
          <w:sz w:val="22"/>
          <w:szCs w:val="22"/>
        </w:rPr>
      </w:pPr>
      <w:r w:rsidRPr="003F63AA">
        <w:rPr>
          <w:sz w:val="22"/>
          <w:szCs w:val="22"/>
        </w:rPr>
        <w:t>b) As revisões obrigatórias de manutenção preventiva, previstas durante o período de garantia ou até 2.000 horas, deverão ser realizadas sem ônus à Administração, incluindo peças, mão de obra e logística, sob pena de retenção de pagamento ou aplicação de sanções;</w:t>
      </w:r>
    </w:p>
    <w:p w:rsidR="00D677D8" w:rsidRDefault="003F63AA" w:rsidP="003F63AA">
      <w:pPr>
        <w:pStyle w:val="CabealhoeRodap"/>
        <w:ind w:right="-2"/>
        <w:jc w:val="both"/>
        <w:rPr>
          <w:sz w:val="22"/>
          <w:szCs w:val="22"/>
        </w:rPr>
      </w:pPr>
      <w:r w:rsidRPr="003F63AA">
        <w:rPr>
          <w:sz w:val="22"/>
          <w:szCs w:val="22"/>
        </w:rPr>
        <w:t>c) Eventuais falhas na entrega, inconformidades técnicas ou atrasos impedirão a liquidação e o pagamento até a regularização integral da situação, sem prejuízo das penalidades legais previstas no contrato e nos arts. 155 a 159 da Lei nº 14.133/2021.</w:t>
      </w:r>
    </w:p>
    <w:p w:rsidR="003F63AA" w:rsidRDefault="003F63AA" w:rsidP="003F63AA">
      <w:pPr>
        <w:pStyle w:val="CabealhoeRodap"/>
        <w:ind w:right="-2"/>
        <w:jc w:val="both"/>
        <w:rPr>
          <w:sz w:val="22"/>
          <w:szCs w:val="22"/>
        </w:rPr>
      </w:pPr>
    </w:p>
    <w:p w:rsidR="00D677D8" w:rsidRDefault="005964FB">
      <w:pPr>
        <w:pStyle w:val="CabealhoeRodap"/>
        <w:ind w:right="-2"/>
        <w:jc w:val="both"/>
        <w:rPr>
          <w:sz w:val="22"/>
          <w:szCs w:val="22"/>
        </w:rPr>
      </w:pPr>
      <w:r w:rsidRPr="00FE3A6B">
        <w:rPr>
          <w:b/>
          <w:sz w:val="22"/>
          <w:szCs w:val="22"/>
        </w:rPr>
        <w:lastRenderedPageBreak/>
        <w:t>1.8. Das contratações anteriores</w:t>
      </w:r>
      <w:r w:rsidRPr="00FE3A6B">
        <w:rPr>
          <w:sz w:val="22"/>
          <w:szCs w:val="22"/>
        </w:rPr>
        <w:t xml:space="preserve">: O Município de Bandeirantes/PR possui histórico consolidado de </w:t>
      </w:r>
      <w:r w:rsidRPr="00FE3A6B">
        <w:rPr>
          <w:sz w:val="22"/>
          <w:szCs w:val="22"/>
        </w:rPr>
        <w:t>a</w:t>
      </w:r>
      <w:r w:rsidRPr="00FE3A6B">
        <w:rPr>
          <w:sz w:val="22"/>
          <w:szCs w:val="22"/>
        </w:rPr>
        <w:t>quisições de veículos pesados e equipamentos destinados à melhoria da infraestrutura rural e urbana, re</w:t>
      </w:r>
      <w:r w:rsidRPr="00FE3A6B">
        <w:rPr>
          <w:sz w:val="22"/>
          <w:szCs w:val="22"/>
        </w:rPr>
        <w:t>a</w:t>
      </w:r>
      <w:r w:rsidRPr="00FE3A6B">
        <w:rPr>
          <w:sz w:val="22"/>
          <w:szCs w:val="22"/>
        </w:rPr>
        <w:t>lizadas tanto por meio de licitações próprias e convênios celebrados com órgãos estaduais e federais.</w:t>
      </w:r>
    </w:p>
    <w:p w:rsidR="00D677D8" w:rsidRDefault="00D677D8">
      <w:pPr>
        <w:pStyle w:val="CabealhoeRodap"/>
        <w:ind w:right="-2"/>
        <w:jc w:val="both"/>
        <w:rPr>
          <w:sz w:val="22"/>
          <w:szCs w:val="22"/>
        </w:rPr>
      </w:pPr>
    </w:p>
    <w:p w:rsidR="003F63AA" w:rsidRPr="003F63AA" w:rsidRDefault="005964FB" w:rsidP="003F63AA">
      <w:pPr>
        <w:pStyle w:val="CabealhoeRodap"/>
        <w:ind w:right="-2"/>
        <w:jc w:val="both"/>
        <w:rPr>
          <w:sz w:val="22"/>
          <w:szCs w:val="22"/>
        </w:rPr>
      </w:pPr>
      <w:r>
        <w:rPr>
          <w:b/>
          <w:sz w:val="22"/>
          <w:szCs w:val="22"/>
        </w:rPr>
        <w:t>1.9. Da Subcontratação:</w:t>
      </w:r>
      <w:r w:rsidR="003F63AA" w:rsidRPr="003F63AA">
        <w:rPr>
          <w:sz w:val="22"/>
          <w:szCs w:val="22"/>
        </w:rPr>
        <w:t>Considerando que o objeto da contratação consiste na aquisição de bem perm</w:t>
      </w:r>
      <w:r w:rsidR="003F63AA" w:rsidRPr="003F63AA">
        <w:rPr>
          <w:sz w:val="22"/>
          <w:szCs w:val="22"/>
        </w:rPr>
        <w:t>a</w:t>
      </w:r>
      <w:r w:rsidR="003F63AA" w:rsidRPr="003F63AA">
        <w:rPr>
          <w:sz w:val="22"/>
          <w:szCs w:val="22"/>
        </w:rPr>
        <w:t>nente específico, cujo fornecimento exige atendimento direto a requisitos técnicos, garantia de fábrica, assistência técnica autorizada e entrega técnica especializada, não será admitida a subcontratação do obj</w:t>
      </w:r>
      <w:r w:rsidR="003F63AA" w:rsidRPr="003F63AA">
        <w:rPr>
          <w:sz w:val="22"/>
          <w:szCs w:val="22"/>
        </w:rPr>
        <w:t>e</w:t>
      </w:r>
      <w:r w:rsidR="003F63AA" w:rsidRPr="003F63AA">
        <w:rPr>
          <w:sz w:val="22"/>
          <w:szCs w:val="22"/>
        </w:rPr>
        <w:t>to principal, nos termos do art. 122, §1º, da Lei nº 14.133/2021.</w:t>
      </w:r>
    </w:p>
    <w:p w:rsidR="003F63AA" w:rsidRPr="003F63AA" w:rsidRDefault="003F63AA" w:rsidP="003F63AA">
      <w:pPr>
        <w:pStyle w:val="CabealhoeRodap"/>
        <w:ind w:right="-2"/>
        <w:jc w:val="both"/>
        <w:rPr>
          <w:sz w:val="22"/>
          <w:szCs w:val="22"/>
        </w:rPr>
      </w:pPr>
    </w:p>
    <w:p w:rsidR="003F63AA" w:rsidRPr="003F63AA" w:rsidRDefault="003F63AA" w:rsidP="003F63AA">
      <w:pPr>
        <w:pStyle w:val="CabealhoeRodap"/>
        <w:ind w:right="-2"/>
        <w:jc w:val="both"/>
        <w:rPr>
          <w:sz w:val="22"/>
          <w:szCs w:val="22"/>
        </w:rPr>
      </w:pPr>
      <w:r w:rsidRPr="003F63AA">
        <w:rPr>
          <w:sz w:val="22"/>
          <w:szCs w:val="22"/>
        </w:rPr>
        <w:t>A execução do contrato deverá ser integralmente realizada pela empresa contratada, que responderá dir</w:t>
      </w:r>
      <w:r w:rsidRPr="003F63AA">
        <w:rPr>
          <w:sz w:val="22"/>
          <w:szCs w:val="22"/>
        </w:rPr>
        <w:t>e</w:t>
      </w:r>
      <w:r w:rsidRPr="003F63AA">
        <w:rPr>
          <w:sz w:val="22"/>
          <w:szCs w:val="22"/>
        </w:rPr>
        <w:t>tamente pela entrega do equipamento, pelo cumprimento das especificações técnicas, pela prestação da assistência técnica durante o prazo de garantia, bem como pela realização da entrega técnica e do trein</w:t>
      </w:r>
      <w:r w:rsidRPr="003F63AA">
        <w:rPr>
          <w:sz w:val="22"/>
          <w:szCs w:val="22"/>
        </w:rPr>
        <w:t>a</w:t>
      </w:r>
      <w:r w:rsidRPr="003F63AA">
        <w:rPr>
          <w:sz w:val="22"/>
          <w:szCs w:val="22"/>
        </w:rPr>
        <w:t>mento operacional aos servidores designados pela Administração.</w:t>
      </w:r>
    </w:p>
    <w:p w:rsidR="003F63AA" w:rsidRPr="003F63AA" w:rsidRDefault="003F63AA" w:rsidP="003F63AA">
      <w:pPr>
        <w:pStyle w:val="CabealhoeRodap"/>
        <w:ind w:right="-2"/>
        <w:jc w:val="both"/>
        <w:rPr>
          <w:sz w:val="22"/>
          <w:szCs w:val="22"/>
        </w:rPr>
      </w:pPr>
    </w:p>
    <w:p w:rsidR="00D677D8" w:rsidRDefault="003F63AA" w:rsidP="003F63AA">
      <w:pPr>
        <w:pStyle w:val="CabealhoeRodap"/>
        <w:ind w:right="-2"/>
        <w:jc w:val="both"/>
        <w:rPr>
          <w:sz w:val="22"/>
          <w:szCs w:val="22"/>
        </w:rPr>
      </w:pPr>
      <w:r w:rsidRPr="003F63AA">
        <w:rPr>
          <w:sz w:val="22"/>
          <w:szCs w:val="22"/>
        </w:rPr>
        <w:t>Admite-se, no que couber, apenas de forma acessória e excepcional, a contratação de terceiros pela forn</w:t>
      </w:r>
      <w:r w:rsidRPr="003F63AA">
        <w:rPr>
          <w:sz w:val="22"/>
          <w:szCs w:val="22"/>
        </w:rPr>
        <w:t>e</w:t>
      </w:r>
      <w:r w:rsidRPr="003F63AA">
        <w:rPr>
          <w:sz w:val="22"/>
          <w:szCs w:val="22"/>
        </w:rPr>
        <w:t>cedora, exclusivamente para atividades de apoio logístico (como transporte do equipamento até o local de entrega), desde que tal contratação não descaracterize a responsabilidade integral da contratada principal e não configure repasse de obrigações essenciais da contratação.</w:t>
      </w:r>
    </w:p>
    <w:p w:rsidR="003F63AA" w:rsidRDefault="003F63AA" w:rsidP="003F63AA">
      <w:pPr>
        <w:pStyle w:val="CabealhoeRodap"/>
        <w:ind w:right="-2"/>
        <w:jc w:val="both"/>
        <w:rPr>
          <w:sz w:val="22"/>
          <w:szCs w:val="22"/>
        </w:rPr>
      </w:pPr>
    </w:p>
    <w:p w:rsidR="009C77D9" w:rsidRPr="009C77D9" w:rsidRDefault="005964FB" w:rsidP="009C77D9">
      <w:pPr>
        <w:pStyle w:val="CabealhoeRodap"/>
        <w:ind w:right="-2"/>
        <w:jc w:val="both"/>
        <w:rPr>
          <w:sz w:val="22"/>
          <w:szCs w:val="22"/>
        </w:rPr>
      </w:pPr>
      <w:r>
        <w:rPr>
          <w:b/>
          <w:sz w:val="22"/>
          <w:szCs w:val="22"/>
        </w:rPr>
        <w:t xml:space="preserve">1.10. Da participação de Cooperativas: </w:t>
      </w:r>
      <w:r w:rsidR="009C77D9" w:rsidRPr="009C77D9">
        <w:rPr>
          <w:sz w:val="22"/>
          <w:szCs w:val="22"/>
        </w:rPr>
        <w:t>Será admitida a participação de cooperativas na contratação, no que couber, desde que atendam integralmente às exigências técnicas, jurídicas e econômicas previstas no edital e no contrato decorrente do Pregão Eletrônico.As cooperativas deverão comprovar:</w:t>
      </w:r>
    </w:p>
    <w:p w:rsidR="009C77D9" w:rsidRPr="009C77D9" w:rsidRDefault="009C77D9" w:rsidP="009C77D9">
      <w:pPr>
        <w:pStyle w:val="CabealhoeRodap"/>
        <w:ind w:right="-2"/>
        <w:jc w:val="both"/>
        <w:rPr>
          <w:sz w:val="22"/>
          <w:szCs w:val="22"/>
        </w:rPr>
      </w:pPr>
      <w:r w:rsidRPr="009C77D9">
        <w:rPr>
          <w:sz w:val="22"/>
          <w:szCs w:val="22"/>
        </w:rPr>
        <w:t>a) regularidade de constituição e funcionamento, mediante registro em Junta Comercial ou órgão comp</w:t>
      </w:r>
      <w:r w:rsidRPr="009C77D9">
        <w:rPr>
          <w:sz w:val="22"/>
          <w:szCs w:val="22"/>
        </w:rPr>
        <w:t>e</w:t>
      </w:r>
      <w:r w:rsidRPr="009C77D9">
        <w:rPr>
          <w:sz w:val="22"/>
          <w:szCs w:val="22"/>
        </w:rPr>
        <w:t>tente e apresentação da ata de eleição da atual diretoria;</w:t>
      </w:r>
    </w:p>
    <w:p w:rsidR="009C77D9" w:rsidRPr="009C77D9" w:rsidRDefault="009C77D9" w:rsidP="009C77D9">
      <w:pPr>
        <w:pStyle w:val="CabealhoeRodap"/>
        <w:ind w:right="-2"/>
        <w:jc w:val="both"/>
        <w:rPr>
          <w:sz w:val="22"/>
          <w:szCs w:val="22"/>
        </w:rPr>
      </w:pPr>
      <w:r w:rsidRPr="009C77D9">
        <w:rPr>
          <w:sz w:val="22"/>
          <w:szCs w:val="22"/>
        </w:rPr>
        <w:t>b) cumprimento das exigências legais previstas na Lei nº 5.764/1971 (Lei do Cooperativismo) e demais normas aplicáveis;</w:t>
      </w:r>
    </w:p>
    <w:p w:rsidR="009C77D9" w:rsidRPr="009C77D9" w:rsidRDefault="009C77D9" w:rsidP="009C77D9">
      <w:pPr>
        <w:pStyle w:val="CabealhoeRodap"/>
        <w:ind w:right="-2"/>
        <w:jc w:val="both"/>
        <w:rPr>
          <w:sz w:val="22"/>
          <w:szCs w:val="22"/>
        </w:rPr>
      </w:pPr>
      <w:r w:rsidRPr="009C77D9">
        <w:rPr>
          <w:sz w:val="22"/>
          <w:szCs w:val="22"/>
        </w:rPr>
        <w:t>c) atendimento às condições de habilitação jurídica, regularidade fiscal, trabalhista e previdenciária, bem como qualificação econômico-financeira e técnica exigidas pela legislação de licitações e contratos adm</w:t>
      </w:r>
      <w:r w:rsidRPr="009C77D9">
        <w:rPr>
          <w:sz w:val="22"/>
          <w:szCs w:val="22"/>
        </w:rPr>
        <w:t>i</w:t>
      </w:r>
      <w:r w:rsidRPr="009C77D9">
        <w:rPr>
          <w:sz w:val="22"/>
          <w:szCs w:val="22"/>
        </w:rPr>
        <w:t>nistrativos;</w:t>
      </w:r>
    </w:p>
    <w:p w:rsidR="009C77D9" w:rsidRPr="009C77D9" w:rsidRDefault="009C77D9" w:rsidP="009C77D9">
      <w:pPr>
        <w:pStyle w:val="CabealhoeRodap"/>
        <w:ind w:right="-2"/>
        <w:jc w:val="both"/>
        <w:rPr>
          <w:sz w:val="22"/>
          <w:szCs w:val="22"/>
        </w:rPr>
      </w:pPr>
      <w:r w:rsidRPr="009C77D9">
        <w:rPr>
          <w:sz w:val="22"/>
          <w:szCs w:val="22"/>
        </w:rPr>
        <w:t>d) compatibilidade entre o objeto social da cooperativa e a execução do objeto contratado.</w:t>
      </w:r>
    </w:p>
    <w:p w:rsidR="009C77D9" w:rsidRPr="009C77D9" w:rsidRDefault="009C77D9" w:rsidP="009C77D9">
      <w:pPr>
        <w:pStyle w:val="CabealhoeRodap"/>
        <w:ind w:right="-2"/>
        <w:jc w:val="both"/>
        <w:rPr>
          <w:sz w:val="22"/>
          <w:szCs w:val="22"/>
        </w:rPr>
      </w:pPr>
    </w:p>
    <w:p w:rsidR="009C77D9" w:rsidRDefault="009C77D9" w:rsidP="009C77D9">
      <w:pPr>
        <w:pStyle w:val="CabealhoeRodap"/>
        <w:ind w:right="-2"/>
        <w:jc w:val="both"/>
        <w:rPr>
          <w:sz w:val="22"/>
          <w:szCs w:val="22"/>
        </w:rPr>
      </w:pPr>
      <w:r w:rsidRPr="009C77D9">
        <w:rPr>
          <w:sz w:val="22"/>
          <w:szCs w:val="22"/>
        </w:rPr>
        <w:t>Fica vedada a participação de cooperativas que funcionem como intermediadoras de mão de obra, em desacordo com a legislação vigente e a jurisprudência consolidada dos Tribunais de Contas.</w:t>
      </w:r>
    </w:p>
    <w:p w:rsidR="009C77D9" w:rsidRDefault="009C77D9" w:rsidP="009C77D9">
      <w:pPr>
        <w:pStyle w:val="CabealhoeRodap"/>
        <w:ind w:right="-2"/>
        <w:jc w:val="both"/>
        <w:rPr>
          <w:sz w:val="22"/>
          <w:szCs w:val="22"/>
        </w:rPr>
      </w:pPr>
    </w:p>
    <w:p w:rsidR="009C77D9" w:rsidRPr="009C77D9" w:rsidRDefault="005964FB" w:rsidP="009C77D9">
      <w:pPr>
        <w:pStyle w:val="CabealhoeRodap"/>
        <w:ind w:right="-2"/>
        <w:jc w:val="both"/>
        <w:rPr>
          <w:sz w:val="22"/>
          <w:szCs w:val="22"/>
        </w:rPr>
      </w:pPr>
      <w:r>
        <w:rPr>
          <w:b/>
          <w:sz w:val="22"/>
          <w:szCs w:val="22"/>
        </w:rPr>
        <w:t>1.11. Da participação deMEI'S, ME'S OU EPP'S</w:t>
      </w:r>
      <w:r>
        <w:rPr>
          <w:sz w:val="22"/>
          <w:szCs w:val="22"/>
        </w:rPr>
        <w:t>:</w:t>
      </w:r>
      <w:r w:rsidR="009C77D9" w:rsidRPr="009C77D9">
        <w:rPr>
          <w:sz w:val="22"/>
          <w:szCs w:val="22"/>
        </w:rPr>
        <w:t>A participação de Microempreendedores Individuais (MEI’s), Microempresas (ME’s) e Empresas de Pequeno Porte (EPP’s) será admitida, no que couber, nos termos da Lei Complementar nº 123/2006, com as alterações introduzidas pela Lei Complementar nº 147/2014, e demais normas aplicáveis.</w:t>
      </w:r>
    </w:p>
    <w:p w:rsidR="009C77D9" w:rsidRPr="009C77D9" w:rsidRDefault="009C77D9" w:rsidP="009C77D9">
      <w:pPr>
        <w:pStyle w:val="CabealhoeRodap"/>
        <w:ind w:right="-2"/>
        <w:jc w:val="both"/>
        <w:rPr>
          <w:sz w:val="22"/>
          <w:szCs w:val="22"/>
        </w:rPr>
      </w:pPr>
    </w:p>
    <w:p w:rsidR="009C77D9" w:rsidRPr="009C77D9" w:rsidRDefault="009C77D9" w:rsidP="009C77D9">
      <w:pPr>
        <w:pStyle w:val="CabealhoeRodap"/>
        <w:ind w:right="-2"/>
        <w:jc w:val="both"/>
        <w:rPr>
          <w:sz w:val="22"/>
          <w:szCs w:val="22"/>
        </w:rPr>
      </w:pPr>
      <w:r w:rsidRPr="009C77D9">
        <w:rPr>
          <w:sz w:val="22"/>
          <w:szCs w:val="22"/>
        </w:rPr>
        <w:t>O enquadramento e o tratamento diferenciado somente serão concedidos quando expressamente previstos no instrumento convocatório do Pregão Eletrônico que originar a contratação, observados os limites e condições estabelecidos pela legislação vigente.</w:t>
      </w:r>
    </w:p>
    <w:p w:rsidR="009C77D9" w:rsidRPr="009C77D9" w:rsidRDefault="009C77D9" w:rsidP="009C77D9">
      <w:pPr>
        <w:pStyle w:val="CabealhoeRodap"/>
        <w:ind w:right="-2"/>
        <w:jc w:val="both"/>
        <w:rPr>
          <w:sz w:val="22"/>
          <w:szCs w:val="22"/>
        </w:rPr>
      </w:pPr>
    </w:p>
    <w:p w:rsidR="009C77D9" w:rsidRPr="009C77D9" w:rsidRDefault="009C77D9" w:rsidP="009C77D9">
      <w:pPr>
        <w:pStyle w:val="CabealhoeRodap"/>
        <w:ind w:right="-2"/>
        <w:jc w:val="both"/>
        <w:rPr>
          <w:sz w:val="22"/>
          <w:szCs w:val="22"/>
        </w:rPr>
      </w:pPr>
      <w:r w:rsidRPr="009C77D9">
        <w:rPr>
          <w:sz w:val="22"/>
          <w:szCs w:val="22"/>
        </w:rPr>
        <w:t>Para tanto, os licitantes deverão apresentar declaração de enquadramento como MEI, ME ou EPP e co</w:t>
      </w:r>
      <w:r w:rsidRPr="009C77D9">
        <w:rPr>
          <w:sz w:val="22"/>
          <w:szCs w:val="22"/>
        </w:rPr>
        <w:t>m</w:t>
      </w:r>
      <w:r w:rsidRPr="009C77D9">
        <w:rPr>
          <w:sz w:val="22"/>
          <w:szCs w:val="22"/>
        </w:rPr>
        <w:t>provar que cumprem todos os requisitos legais, inclusive quanto à regularidade fiscal, trabalhista e prev</w:t>
      </w:r>
      <w:r w:rsidRPr="009C77D9">
        <w:rPr>
          <w:sz w:val="22"/>
          <w:szCs w:val="22"/>
        </w:rPr>
        <w:t>i</w:t>
      </w:r>
      <w:r w:rsidRPr="009C77D9">
        <w:rPr>
          <w:sz w:val="22"/>
          <w:szCs w:val="22"/>
        </w:rPr>
        <w:t>denciária, dentro dos prazos e condições previstos em lei.</w:t>
      </w:r>
    </w:p>
    <w:p w:rsidR="009C77D9" w:rsidRPr="009C77D9" w:rsidRDefault="009C77D9" w:rsidP="009C77D9">
      <w:pPr>
        <w:pStyle w:val="CabealhoeRodap"/>
        <w:ind w:right="-2"/>
        <w:jc w:val="both"/>
        <w:rPr>
          <w:sz w:val="22"/>
          <w:szCs w:val="22"/>
        </w:rPr>
      </w:pPr>
    </w:p>
    <w:p w:rsidR="00D677D8" w:rsidRDefault="009C77D9" w:rsidP="009C77D9">
      <w:pPr>
        <w:pStyle w:val="CabealhoeRodap"/>
        <w:ind w:right="-2"/>
        <w:jc w:val="both"/>
        <w:rPr>
          <w:sz w:val="22"/>
          <w:szCs w:val="22"/>
        </w:rPr>
      </w:pPr>
      <w:r w:rsidRPr="009C77D9">
        <w:rPr>
          <w:sz w:val="22"/>
          <w:szCs w:val="22"/>
        </w:rPr>
        <w:t>Na ausência de previsão no edital, a contratação seguirá integralmente as regras gerais estabelecidas para os demais participantes, sem aplicação de benefícios adicionais.</w:t>
      </w:r>
    </w:p>
    <w:p w:rsidR="009C77D9" w:rsidRDefault="009C77D9" w:rsidP="009C77D9">
      <w:pPr>
        <w:pStyle w:val="CabealhoeRodap"/>
        <w:ind w:right="-2"/>
        <w:jc w:val="both"/>
        <w:rPr>
          <w:sz w:val="22"/>
          <w:szCs w:val="22"/>
        </w:rPr>
      </w:pPr>
    </w:p>
    <w:p w:rsidR="00D677D8" w:rsidRDefault="00D677D8">
      <w:pPr>
        <w:pStyle w:val="CabealhoeRodap"/>
        <w:ind w:right="-2"/>
        <w:jc w:val="both"/>
        <w:rPr>
          <w:sz w:val="22"/>
          <w:szCs w:val="22"/>
        </w:rPr>
      </w:pPr>
    </w:p>
    <w:p w:rsidR="009C77D9" w:rsidRPr="009C77D9" w:rsidRDefault="005964FB" w:rsidP="009C77D9">
      <w:pPr>
        <w:pStyle w:val="CabealhoeRodap"/>
        <w:ind w:right="-2"/>
        <w:jc w:val="both"/>
        <w:rPr>
          <w:sz w:val="22"/>
          <w:szCs w:val="22"/>
        </w:rPr>
      </w:pPr>
      <w:r>
        <w:rPr>
          <w:b/>
          <w:sz w:val="22"/>
          <w:szCs w:val="22"/>
        </w:rPr>
        <w:lastRenderedPageBreak/>
        <w:t xml:space="preserve">1.12. Garantia da execução contratual: </w:t>
      </w:r>
      <w:r w:rsidR="009C77D9" w:rsidRPr="009C77D9">
        <w:rPr>
          <w:sz w:val="22"/>
          <w:szCs w:val="22"/>
        </w:rPr>
        <w:t>A garantia da execução contratual observará o disposto no art. 96 da Lei nº 14.133/2021 e demais normas aplicáveis, devendo ser prestada pela contratada, no que co</w:t>
      </w:r>
      <w:r w:rsidR="009C77D9" w:rsidRPr="009C77D9">
        <w:rPr>
          <w:sz w:val="22"/>
          <w:szCs w:val="22"/>
        </w:rPr>
        <w:t>u</w:t>
      </w:r>
      <w:r w:rsidR="009C77D9" w:rsidRPr="009C77D9">
        <w:rPr>
          <w:sz w:val="22"/>
          <w:szCs w:val="22"/>
        </w:rPr>
        <w:t>ber, em uma das modalidades previstas em lei:</w:t>
      </w:r>
    </w:p>
    <w:p w:rsidR="009C77D9" w:rsidRPr="009C77D9" w:rsidRDefault="009C77D9" w:rsidP="009C77D9">
      <w:pPr>
        <w:pStyle w:val="CabealhoeRodap"/>
        <w:ind w:right="-2"/>
        <w:jc w:val="both"/>
        <w:rPr>
          <w:sz w:val="22"/>
          <w:szCs w:val="22"/>
        </w:rPr>
      </w:pPr>
    </w:p>
    <w:p w:rsidR="009C77D9" w:rsidRPr="009C77D9" w:rsidRDefault="009C77D9" w:rsidP="009C77D9">
      <w:pPr>
        <w:pStyle w:val="CabealhoeRodap"/>
        <w:numPr>
          <w:ilvl w:val="0"/>
          <w:numId w:val="28"/>
        </w:numPr>
        <w:ind w:right="-2"/>
        <w:jc w:val="both"/>
        <w:rPr>
          <w:sz w:val="22"/>
          <w:szCs w:val="22"/>
        </w:rPr>
      </w:pPr>
      <w:r w:rsidRPr="009C77D9">
        <w:rPr>
          <w:sz w:val="22"/>
          <w:szCs w:val="22"/>
        </w:rPr>
        <w:t>caução em dinheiro;</w:t>
      </w:r>
    </w:p>
    <w:p w:rsidR="009C77D9" w:rsidRPr="009C77D9" w:rsidRDefault="009C77D9" w:rsidP="009C77D9">
      <w:pPr>
        <w:pStyle w:val="CabealhoeRodap"/>
        <w:ind w:right="-2"/>
        <w:jc w:val="both"/>
        <w:rPr>
          <w:sz w:val="22"/>
          <w:szCs w:val="22"/>
        </w:rPr>
      </w:pPr>
    </w:p>
    <w:p w:rsidR="009C77D9" w:rsidRPr="009C77D9" w:rsidRDefault="009C77D9" w:rsidP="009C77D9">
      <w:pPr>
        <w:pStyle w:val="CabealhoeRodap"/>
        <w:numPr>
          <w:ilvl w:val="0"/>
          <w:numId w:val="28"/>
        </w:numPr>
        <w:ind w:right="-2"/>
        <w:jc w:val="both"/>
        <w:rPr>
          <w:sz w:val="22"/>
          <w:szCs w:val="22"/>
        </w:rPr>
      </w:pPr>
      <w:r w:rsidRPr="009C77D9">
        <w:rPr>
          <w:sz w:val="22"/>
          <w:szCs w:val="22"/>
        </w:rPr>
        <w:t>seguro-garantia;</w:t>
      </w:r>
    </w:p>
    <w:p w:rsidR="009C77D9" w:rsidRPr="009C77D9" w:rsidRDefault="009C77D9" w:rsidP="009C77D9">
      <w:pPr>
        <w:pStyle w:val="CabealhoeRodap"/>
        <w:ind w:right="-2"/>
        <w:jc w:val="both"/>
        <w:rPr>
          <w:sz w:val="22"/>
          <w:szCs w:val="22"/>
        </w:rPr>
      </w:pPr>
    </w:p>
    <w:p w:rsidR="009C77D9" w:rsidRPr="009C77D9" w:rsidRDefault="009C77D9" w:rsidP="009C77D9">
      <w:pPr>
        <w:pStyle w:val="CabealhoeRodap"/>
        <w:numPr>
          <w:ilvl w:val="0"/>
          <w:numId w:val="28"/>
        </w:numPr>
        <w:ind w:right="-2"/>
        <w:jc w:val="both"/>
        <w:rPr>
          <w:sz w:val="22"/>
          <w:szCs w:val="22"/>
        </w:rPr>
      </w:pPr>
      <w:r w:rsidRPr="009C77D9">
        <w:rPr>
          <w:sz w:val="22"/>
          <w:szCs w:val="22"/>
        </w:rPr>
        <w:t>fiança bancária.</w:t>
      </w:r>
    </w:p>
    <w:p w:rsidR="009C77D9" w:rsidRPr="009C77D9" w:rsidRDefault="009C77D9" w:rsidP="009C77D9">
      <w:pPr>
        <w:pStyle w:val="CabealhoeRodap"/>
        <w:ind w:right="-2"/>
        <w:jc w:val="both"/>
        <w:rPr>
          <w:sz w:val="22"/>
          <w:szCs w:val="22"/>
        </w:rPr>
      </w:pPr>
    </w:p>
    <w:p w:rsidR="009C77D9" w:rsidRPr="009C77D9" w:rsidRDefault="009C77D9" w:rsidP="009C77D9">
      <w:pPr>
        <w:pStyle w:val="CabealhoeRodap"/>
        <w:ind w:right="-2"/>
        <w:jc w:val="both"/>
        <w:rPr>
          <w:sz w:val="22"/>
          <w:szCs w:val="22"/>
        </w:rPr>
      </w:pPr>
      <w:r w:rsidRPr="009C77D9">
        <w:rPr>
          <w:sz w:val="22"/>
          <w:szCs w:val="22"/>
        </w:rPr>
        <w:t>O valor, a forma e os prazos para apresentação da garantia serão definidos no edital do Pregão Eletrônico e no Contrato Administrativo correspondente, respeitado o limite de até 5% (cinco por cento) do valor do contrato, podendo chegar a até 10% (dez por cento) em casos de contratação de grande vulto ou de alto risco, conforme §2º do art. 96 da Lei nº 14.133/2021.</w:t>
      </w:r>
    </w:p>
    <w:p w:rsidR="009C77D9" w:rsidRPr="009C77D9" w:rsidRDefault="009C77D9" w:rsidP="009C77D9">
      <w:pPr>
        <w:pStyle w:val="CabealhoeRodap"/>
        <w:ind w:right="-2"/>
        <w:jc w:val="both"/>
        <w:rPr>
          <w:sz w:val="22"/>
          <w:szCs w:val="22"/>
        </w:rPr>
      </w:pPr>
    </w:p>
    <w:p w:rsidR="009C77D9" w:rsidRPr="009C77D9" w:rsidRDefault="009C77D9" w:rsidP="009C77D9">
      <w:pPr>
        <w:pStyle w:val="CabealhoeRodap"/>
        <w:ind w:right="-2"/>
        <w:jc w:val="both"/>
        <w:rPr>
          <w:sz w:val="22"/>
          <w:szCs w:val="22"/>
        </w:rPr>
      </w:pPr>
      <w:r w:rsidRPr="009C77D9">
        <w:rPr>
          <w:sz w:val="22"/>
          <w:szCs w:val="22"/>
        </w:rPr>
        <w:t>A garantia, quando exigida, terá por finalidade assegurar o cumprimento de todas as obrigações assum</w:t>
      </w:r>
      <w:r w:rsidRPr="009C77D9">
        <w:rPr>
          <w:sz w:val="22"/>
          <w:szCs w:val="22"/>
        </w:rPr>
        <w:t>i</w:t>
      </w:r>
      <w:r w:rsidRPr="009C77D9">
        <w:rPr>
          <w:sz w:val="22"/>
          <w:szCs w:val="22"/>
        </w:rPr>
        <w:t>das pela contratada, abrangendo a entrega do equipamento nas condições especificadas, a prestação da assistência técnica, a execução do treinamento operacional e o atendimento às condições de garantia de fábrica.</w:t>
      </w:r>
    </w:p>
    <w:p w:rsidR="009C77D9" w:rsidRPr="009C77D9" w:rsidRDefault="009C77D9" w:rsidP="009C77D9">
      <w:pPr>
        <w:pStyle w:val="CabealhoeRodap"/>
        <w:ind w:right="-2"/>
        <w:jc w:val="both"/>
        <w:rPr>
          <w:sz w:val="22"/>
          <w:szCs w:val="22"/>
        </w:rPr>
      </w:pPr>
    </w:p>
    <w:p w:rsidR="00D677D8" w:rsidRDefault="009C77D9" w:rsidP="009C77D9">
      <w:pPr>
        <w:pStyle w:val="CabealhoeRodap"/>
        <w:ind w:right="-2"/>
        <w:jc w:val="both"/>
        <w:rPr>
          <w:sz w:val="22"/>
          <w:szCs w:val="22"/>
        </w:rPr>
      </w:pPr>
      <w:r w:rsidRPr="009C77D9">
        <w:rPr>
          <w:sz w:val="22"/>
          <w:szCs w:val="22"/>
        </w:rPr>
        <w:t>O não atendimento à exigência de apresentação ou manutenção da garantia implicará nas penalidades previstas em lei e no contrato, inclusive a possibilidade de rescisão contratual, sem prejuízo da respons</w:t>
      </w:r>
      <w:r w:rsidRPr="009C77D9">
        <w:rPr>
          <w:sz w:val="22"/>
          <w:szCs w:val="22"/>
        </w:rPr>
        <w:t>a</w:t>
      </w:r>
      <w:r w:rsidRPr="009C77D9">
        <w:rPr>
          <w:sz w:val="22"/>
          <w:szCs w:val="22"/>
        </w:rPr>
        <w:t>bilidade civil e administrativa da contratada.</w:t>
      </w:r>
    </w:p>
    <w:p w:rsidR="009C77D9" w:rsidRDefault="009C77D9" w:rsidP="009C77D9">
      <w:pPr>
        <w:pStyle w:val="CabealhoeRodap"/>
        <w:ind w:right="-2"/>
        <w:jc w:val="both"/>
        <w:rPr>
          <w:sz w:val="22"/>
          <w:szCs w:val="22"/>
        </w:rPr>
      </w:pPr>
    </w:p>
    <w:p w:rsidR="009C77D9" w:rsidRPr="009C77D9" w:rsidRDefault="005964FB" w:rsidP="009C77D9">
      <w:pPr>
        <w:pStyle w:val="CabealhoeRodap"/>
        <w:ind w:right="-2"/>
        <w:jc w:val="both"/>
        <w:rPr>
          <w:sz w:val="22"/>
          <w:szCs w:val="22"/>
        </w:rPr>
      </w:pPr>
      <w:r>
        <w:rPr>
          <w:sz w:val="22"/>
          <w:szCs w:val="22"/>
        </w:rPr>
        <w:t xml:space="preserve">1.13. </w:t>
      </w:r>
      <w:r>
        <w:rPr>
          <w:b/>
          <w:sz w:val="22"/>
          <w:szCs w:val="22"/>
        </w:rPr>
        <w:t>Manutenção e assistência técnica</w:t>
      </w:r>
      <w:r w:rsidR="009C77D9">
        <w:rPr>
          <w:b/>
          <w:sz w:val="22"/>
          <w:szCs w:val="22"/>
        </w:rPr>
        <w:t xml:space="preserve">: </w:t>
      </w:r>
      <w:r w:rsidR="009C77D9" w:rsidRPr="009C77D9">
        <w:rPr>
          <w:sz w:val="22"/>
          <w:szCs w:val="22"/>
        </w:rPr>
        <w:t>A contratada será responsável, no que couber, pela prestação de manutenção preventiva e corretiva da pá carregadeira durante o período de garantia contratual, incluindo peças originais, mão de obra especializada, insumos e logística necessários, sem qualquer ônus ao Mun</w:t>
      </w:r>
      <w:r w:rsidR="009C77D9" w:rsidRPr="009C77D9">
        <w:rPr>
          <w:sz w:val="22"/>
          <w:szCs w:val="22"/>
        </w:rPr>
        <w:t>i</w:t>
      </w:r>
      <w:r w:rsidR="009C77D9" w:rsidRPr="009C77D9">
        <w:rPr>
          <w:sz w:val="22"/>
          <w:szCs w:val="22"/>
        </w:rPr>
        <w:t>cípio de Bandeirantes/PR.</w:t>
      </w:r>
    </w:p>
    <w:p w:rsidR="009C77D9" w:rsidRPr="009C77D9" w:rsidRDefault="009C77D9" w:rsidP="009C77D9">
      <w:pPr>
        <w:pStyle w:val="CabealhoeRodap"/>
        <w:ind w:right="-2"/>
        <w:jc w:val="both"/>
        <w:rPr>
          <w:sz w:val="22"/>
          <w:szCs w:val="22"/>
        </w:rPr>
      </w:pPr>
    </w:p>
    <w:p w:rsidR="009C77D9" w:rsidRPr="009C77D9" w:rsidRDefault="009C77D9" w:rsidP="009C77D9">
      <w:pPr>
        <w:pStyle w:val="CabealhoeRodap"/>
        <w:ind w:right="-2"/>
        <w:jc w:val="both"/>
        <w:rPr>
          <w:sz w:val="22"/>
          <w:szCs w:val="22"/>
        </w:rPr>
      </w:pPr>
      <w:r w:rsidRPr="009C77D9">
        <w:rPr>
          <w:sz w:val="22"/>
          <w:szCs w:val="22"/>
        </w:rPr>
        <w:t>1.13.1. A contratada deverá fornecer, no ato da entrega, o plano de manutenção preventiva recomendado pelo fabricante, em língua portuguesa, devendo ser observados os intervalos de revisão até o limite de 2.000 (duas mil) horas ou 12 (doze) meses de uso, o que ocorrer primeiro.</w:t>
      </w:r>
    </w:p>
    <w:p w:rsidR="009C77D9" w:rsidRPr="009C77D9" w:rsidRDefault="009C77D9" w:rsidP="009C77D9">
      <w:pPr>
        <w:pStyle w:val="CabealhoeRodap"/>
        <w:ind w:right="-2"/>
        <w:jc w:val="both"/>
        <w:rPr>
          <w:sz w:val="22"/>
          <w:szCs w:val="22"/>
        </w:rPr>
      </w:pPr>
      <w:r w:rsidRPr="009C77D9">
        <w:rPr>
          <w:sz w:val="22"/>
          <w:szCs w:val="22"/>
        </w:rPr>
        <w:t>1.13.2. O atendimento deverá ocorrer no prazo máximo de 48 (quarenta e oito) horas a contar do receb</w:t>
      </w:r>
      <w:r w:rsidRPr="009C77D9">
        <w:rPr>
          <w:sz w:val="22"/>
          <w:szCs w:val="22"/>
        </w:rPr>
        <w:t>i</w:t>
      </w:r>
      <w:r w:rsidRPr="009C77D9">
        <w:rPr>
          <w:sz w:val="22"/>
          <w:szCs w:val="22"/>
        </w:rPr>
        <w:t>mento da solicitação formal da Administração, incluindo deslocamento de pessoal, transporte, fornec</w:t>
      </w:r>
      <w:r w:rsidRPr="009C77D9">
        <w:rPr>
          <w:sz w:val="22"/>
          <w:szCs w:val="22"/>
        </w:rPr>
        <w:t>i</w:t>
      </w:r>
      <w:r w:rsidRPr="009C77D9">
        <w:rPr>
          <w:sz w:val="22"/>
          <w:szCs w:val="22"/>
        </w:rPr>
        <w:t>mento de peças originais, insumos, mão de obra qualificada e demais custos correlatos.</w:t>
      </w:r>
    </w:p>
    <w:p w:rsidR="009C77D9" w:rsidRPr="009C77D9" w:rsidRDefault="009C77D9" w:rsidP="009C77D9">
      <w:pPr>
        <w:pStyle w:val="CabealhoeRodap"/>
        <w:ind w:right="-2"/>
        <w:jc w:val="both"/>
        <w:rPr>
          <w:sz w:val="22"/>
          <w:szCs w:val="22"/>
        </w:rPr>
      </w:pPr>
      <w:r w:rsidRPr="009C77D9">
        <w:rPr>
          <w:sz w:val="22"/>
          <w:szCs w:val="22"/>
        </w:rPr>
        <w:t>1.13.3. Durante o período de garantia, todas as revisões obrigatórias e intervenções técnicas deverão o</w:t>
      </w:r>
      <w:r w:rsidRPr="009C77D9">
        <w:rPr>
          <w:sz w:val="22"/>
          <w:szCs w:val="22"/>
        </w:rPr>
        <w:t>b</w:t>
      </w:r>
      <w:r w:rsidRPr="009C77D9">
        <w:rPr>
          <w:sz w:val="22"/>
          <w:szCs w:val="22"/>
        </w:rPr>
        <w:t>servar integralmente as especificações do fabricante, sendo de responsabilidade exclusiva da contratada a execução completa dos serviços, sem repasse de custos ao Município.</w:t>
      </w:r>
    </w:p>
    <w:p w:rsidR="009C77D9" w:rsidRPr="009C77D9" w:rsidRDefault="009C77D9" w:rsidP="009C77D9">
      <w:pPr>
        <w:pStyle w:val="CabealhoeRodap"/>
        <w:ind w:right="-2"/>
        <w:jc w:val="both"/>
        <w:rPr>
          <w:sz w:val="22"/>
          <w:szCs w:val="22"/>
        </w:rPr>
      </w:pPr>
      <w:r w:rsidRPr="009C77D9">
        <w:rPr>
          <w:sz w:val="22"/>
          <w:szCs w:val="22"/>
        </w:rPr>
        <w:t>1.13.4. Caso seja necessária a substituição integral do equipamento, esta deverá ser realizada no prazo máximo de 10 (dez) dias úteis, contados da notificação por escrito pela Administração, mantendo-se o preço inicialmente contratado e sem qualquer ônus adicional ao Município.</w:t>
      </w:r>
    </w:p>
    <w:p w:rsidR="009C77D9" w:rsidRPr="009C77D9" w:rsidRDefault="009C77D9" w:rsidP="009C77D9">
      <w:pPr>
        <w:pStyle w:val="CabealhoeRodap"/>
        <w:ind w:right="-2"/>
        <w:jc w:val="both"/>
        <w:rPr>
          <w:sz w:val="22"/>
          <w:szCs w:val="22"/>
        </w:rPr>
      </w:pPr>
      <w:r w:rsidRPr="009C77D9">
        <w:rPr>
          <w:sz w:val="22"/>
          <w:szCs w:val="22"/>
        </w:rPr>
        <w:t>1.13.5. As peças e componentes utilizados nos serviços de manutenção deverão ser originais de fábrica ou equivalentes, desde que certificados e plenamente compatíveis com as especificações técnicas do equip</w:t>
      </w:r>
      <w:r w:rsidRPr="009C77D9">
        <w:rPr>
          <w:sz w:val="22"/>
          <w:szCs w:val="22"/>
        </w:rPr>
        <w:t>a</w:t>
      </w:r>
      <w:r w:rsidRPr="009C77D9">
        <w:rPr>
          <w:sz w:val="22"/>
          <w:szCs w:val="22"/>
        </w:rPr>
        <w:t>mento.</w:t>
      </w:r>
    </w:p>
    <w:p w:rsidR="009C77D9" w:rsidRPr="009C77D9" w:rsidRDefault="009C77D9" w:rsidP="009C77D9">
      <w:pPr>
        <w:pStyle w:val="CabealhoeRodap"/>
        <w:ind w:right="-2"/>
        <w:jc w:val="both"/>
        <w:rPr>
          <w:sz w:val="22"/>
          <w:szCs w:val="22"/>
        </w:rPr>
      </w:pPr>
      <w:r w:rsidRPr="009C77D9">
        <w:rPr>
          <w:sz w:val="22"/>
          <w:szCs w:val="22"/>
        </w:rPr>
        <w:t>1.13.6. A contratada deverá disponibilizar canais de atendimento para solicitações de assistência técnica, incluindo telefone e e-mail, assegurando suporte em língua portuguesa e por equipe técnica capacitada.</w:t>
      </w:r>
    </w:p>
    <w:p w:rsidR="00D677D8" w:rsidRDefault="009C77D9" w:rsidP="009C77D9">
      <w:pPr>
        <w:pStyle w:val="CabealhoeRodap"/>
        <w:ind w:right="-2"/>
        <w:jc w:val="both"/>
        <w:rPr>
          <w:sz w:val="22"/>
          <w:szCs w:val="22"/>
        </w:rPr>
      </w:pPr>
      <w:r w:rsidRPr="009C77D9">
        <w:rPr>
          <w:sz w:val="22"/>
          <w:szCs w:val="22"/>
        </w:rPr>
        <w:t>1.13.7. Todas as intervenções técnicas deverão ser formalmente registradas em relatório detalhado, co</w:t>
      </w:r>
      <w:r w:rsidRPr="009C77D9">
        <w:rPr>
          <w:sz w:val="22"/>
          <w:szCs w:val="22"/>
        </w:rPr>
        <w:t>n</w:t>
      </w:r>
      <w:r w:rsidRPr="009C77D9">
        <w:rPr>
          <w:sz w:val="22"/>
          <w:szCs w:val="22"/>
        </w:rPr>
        <w:t>tendo a descrição do problema, providências adotadas, peças substituídas, datas e assinatura do respons</w:t>
      </w:r>
      <w:r w:rsidRPr="009C77D9">
        <w:rPr>
          <w:sz w:val="22"/>
          <w:szCs w:val="22"/>
        </w:rPr>
        <w:t>á</w:t>
      </w:r>
      <w:r w:rsidRPr="009C77D9">
        <w:rPr>
          <w:sz w:val="22"/>
          <w:szCs w:val="22"/>
        </w:rPr>
        <w:t>vel técnico, devendo o documento ser entregue à fiscalização do contrato para fins de controle e histórico de manutenção.</w:t>
      </w:r>
    </w:p>
    <w:p w:rsidR="009C77D9" w:rsidRDefault="009C77D9" w:rsidP="009C77D9">
      <w:pPr>
        <w:pStyle w:val="CabealhoeRodap"/>
        <w:ind w:right="-2"/>
        <w:jc w:val="both"/>
        <w:rPr>
          <w:sz w:val="22"/>
          <w:szCs w:val="22"/>
        </w:rPr>
      </w:pPr>
    </w:p>
    <w:p w:rsidR="00D677D8" w:rsidRDefault="005964FB">
      <w:pPr>
        <w:pStyle w:val="CabealhoeRodap"/>
        <w:ind w:right="-2"/>
        <w:jc w:val="both"/>
        <w:rPr>
          <w:b/>
          <w:sz w:val="22"/>
          <w:szCs w:val="22"/>
        </w:rPr>
      </w:pPr>
      <w:r>
        <w:rPr>
          <w:sz w:val="22"/>
          <w:szCs w:val="22"/>
        </w:rPr>
        <w:t xml:space="preserve">1.14. </w:t>
      </w:r>
      <w:r>
        <w:rPr>
          <w:b/>
          <w:sz w:val="22"/>
          <w:szCs w:val="22"/>
        </w:rPr>
        <w:t>Da duração do contrato:</w:t>
      </w:r>
    </w:p>
    <w:p w:rsidR="00D677D8" w:rsidRDefault="00D677D8">
      <w:pPr>
        <w:pStyle w:val="CabealhoeRodap"/>
        <w:ind w:right="-2"/>
        <w:jc w:val="both"/>
        <w:rPr>
          <w:sz w:val="22"/>
          <w:szCs w:val="22"/>
        </w:rPr>
      </w:pPr>
    </w:p>
    <w:p w:rsidR="009C77D9" w:rsidRPr="009C77D9" w:rsidRDefault="009C77D9" w:rsidP="009C77D9">
      <w:pPr>
        <w:pStyle w:val="CabealhoeRodap"/>
        <w:ind w:right="-2"/>
        <w:jc w:val="both"/>
        <w:rPr>
          <w:sz w:val="22"/>
          <w:szCs w:val="22"/>
        </w:rPr>
      </w:pPr>
      <w:r>
        <w:rPr>
          <w:sz w:val="22"/>
          <w:szCs w:val="22"/>
        </w:rPr>
        <w:lastRenderedPageBreak/>
        <w:t xml:space="preserve">1.14.1. </w:t>
      </w:r>
      <w:r w:rsidRPr="009C77D9">
        <w:rPr>
          <w:sz w:val="22"/>
          <w:szCs w:val="22"/>
        </w:rPr>
        <w:t>O contrato decorrente da presente contratação terá duração limitada ao período necessário para a entrega definitiva do equipamento, a realização da entrega técnica e do treinamento operacional, bem como para o cumprimento integral das obrigações da contratada durante o prazo de garantia contratual.</w:t>
      </w:r>
    </w:p>
    <w:p w:rsidR="009C77D9" w:rsidRPr="009C77D9" w:rsidRDefault="009C77D9" w:rsidP="009C77D9">
      <w:pPr>
        <w:pStyle w:val="CabealhoeRodap"/>
        <w:ind w:right="-2"/>
        <w:jc w:val="both"/>
        <w:rPr>
          <w:sz w:val="22"/>
          <w:szCs w:val="22"/>
        </w:rPr>
      </w:pPr>
    </w:p>
    <w:p w:rsidR="009C77D9" w:rsidRPr="009C77D9" w:rsidRDefault="009C77D9" w:rsidP="009C77D9">
      <w:pPr>
        <w:pStyle w:val="CabealhoeRodap"/>
        <w:ind w:right="-2"/>
        <w:jc w:val="both"/>
        <w:rPr>
          <w:sz w:val="22"/>
          <w:szCs w:val="22"/>
        </w:rPr>
      </w:pPr>
      <w:r>
        <w:rPr>
          <w:sz w:val="22"/>
          <w:szCs w:val="22"/>
        </w:rPr>
        <w:t xml:space="preserve">1.41.2. </w:t>
      </w:r>
      <w:r w:rsidRPr="009C77D9">
        <w:rPr>
          <w:sz w:val="22"/>
          <w:szCs w:val="22"/>
        </w:rPr>
        <w:t>Nos termos do art. 107 da Lei nº 14.133/2021, a vigência do contrato observará as condições est</w:t>
      </w:r>
      <w:r w:rsidRPr="009C77D9">
        <w:rPr>
          <w:sz w:val="22"/>
          <w:szCs w:val="22"/>
        </w:rPr>
        <w:t>a</w:t>
      </w:r>
      <w:r w:rsidRPr="009C77D9">
        <w:rPr>
          <w:sz w:val="22"/>
          <w:szCs w:val="22"/>
        </w:rPr>
        <w:t>belecidas no edital e no instrumento convocatório, não podendo ultrapassar o período de execução previ</w:t>
      </w:r>
      <w:r w:rsidRPr="009C77D9">
        <w:rPr>
          <w:sz w:val="22"/>
          <w:szCs w:val="22"/>
        </w:rPr>
        <w:t>s</w:t>
      </w:r>
      <w:r w:rsidRPr="009C77D9">
        <w:rPr>
          <w:sz w:val="22"/>
          <w:szCs w:val="22"/>
        </w:rPr>
        <w:t>to no Convênio nº 160/2025 – SEAB, no que couber.</w:t>
      </w:r>
    </w:p>
    <w:p w:rsidR="009C77D9" w:rsidRPr="009C77D9" w:rsidRDefault="009C77D9" w:rsidP="009C77D9">
      <w:pPr>
        <w:pStyle w:val="CabealhoeRodap"/>
        <w:ind w:right="-2"/>
        <w:jc w:val="both"/>
        <w:rPr>
          <w:sz w:val="22"/>
          <w:szCs w:val="22"/>
        </w:rPr>
      </w:pPr>
    </w:p>
    <w:p w:rsidR="00D677D8" w:rsidRDefault="009C77D9" w:rsidP="009C77D9">
      <w:pPr>
        <w:pStyle w:val="CabealhoeRodap"/>
        <w:ind w:right="-2"/>
        <w:jc w:val="both"/>
        <w:rPr>
          <w:sz w:val="22"/>
          <w:szCs w:val="22"/>
        </w:rPr>
      </w:pPr>
      <w:r>
        <w:rPr>
          <w:sz w:val="22"/>
          <w:szCs w:val="22"/>
        </w:rPr>
        <w:t xml:space="preserve">1.41.3. </w:t>
      </w:r>
      <w:r w:rsidRPr="009C77D9">
        <w:rPr>
          <w:sz w:val="22"/>
          <w:szCs w:val="22"/>
        </w:rPr>
        <w:t>Eventual prorrogação da vigência contratual poderá ser admitida, de forma excepcional, desde que devidamente justificada, limitada às hipóteses previstas no art. 107, §1º, da Lei nº 14.133/2021, e media</w:t>
      </w:r>
      <w:r w:rsidRPr="009C77D9">
        <w:rPr>
          <w:sz w:val="22"/>
          <w:szCs w:val="22"/>
        </w:rPr>
        <w:t>n</w:t>
      </w:r>
      <w:r w:rsidRPr="009C77D9">
        <w:rPr>
          <w:sz w:val="22"/>
          <w:szCs w:val="22"/>
        </w:rPr>
        <w:t>te autorização formal da Administração.</w:t>
      </w:r>
    </w:p>
    <w:p w:rsidR="009C77D9" w:rsidRDefault="009C77D9" w:rsidP="009C77D9">
      <w:pPr>
        <w:pStyle w:val="CabealhoeRodap"/>
        <w:ind w:right="-2"/>
        <w:jc w:val="both"/>
        <w:rPr>
          <w:color w:val="000000"/>
          <w:sz w:val="22"/>
          <w:szCs w:val="22"/>
        </w:rPr>
      </w:pPr>
    </w:p>
    <w:p w:rsidR="00D677D8" w:rsidRDefault="005964FB">
      <w:pPr>
        <w:pStyle w:val="CabealhoeRodap"/>
        <w:ind w:right="-2"/>
        <w:jc w:val="both"/>
        <w:rPr>
          <w:color w:val="000000"/>
          <w:sz w:val="22"/>
          <w:szCs w:val="22"/>
        </w:rPr>
      </w:pPr>
      <w:r>
        <w:rPr>
          <w:color w:val="000000"/>
          <w:sz w:val="22"/>
          <w:szCs w:val="22"/>
        </w:rPr>
        <w:t xml:space="preserve">1.15. </w:t>
      </w:r>
      <w:r>
        <w:rPr>
          <w:b/>
          <w:color w:val="000000"/>
          <w:sz w:val="22"/>
          <w:szCs w:val="22"/>
        </w:rPr>
        <w:t>Necessidade ou não de vistoria dos licitantes ao local de execução do objeto</w:t>
      </w:r>
      <w:r>
        <w:rPr>
          <w:color w:val="000000"/>
          <w:sz w:val="22"/>
          <w:szCs w:val="22"/>
        </w:rPr>
        <w:t xml:space="preserve">: </w:t>
      </w:r>
    </w:p>
    <w:p w:rsidR="00D677D8" w:rsidRDefault="00D677D8">
      <w:pPr>
        <w:pStyle w:val="CabealhoeRodap"/>
        <w:ind w:right="-2"/>
        <w:jc w:val="both"/>
        <w:rPr>
          <w:color w:val="000000"/>
          <w:sz w:val="22"/>
          <w:szCs w:val="22"/>
        </w:rPr>
      </w:pPr>
    </w:p>
    <w:p w:rsidR="00E901CC" w:rsidRPr="00E901CC" w:rsidRDefault="00E901CC" w:rsidP="00E901CC">
      <w:pPr>
        <w:pStyle w:val="CabealhoeRodap"/>
        <w:ind w:right="-2"/>
        <w:jc w:val="both"/>
        <w:rPr>
          <w:color w:val="000000"/>
          <w:sz w:val="22"/>
          <w:szCs w:val="22"/>
        </w:rPr>
      </w:pPr>
      <w:r>
        <w:rPr>
          <w:color w:val="000000"/>
          <w:sz w:val="22"/>
          <w:szCs w:val="22"/>
        </w:rPr>
        <w:t xml:space="preserve">1.15.1. </w:t>
      </w:r>
      <w:r w:rsidRPr="00E901CC">
        <w:rPr>
          <w:color w:val="000000"/>
          <w:sz w:val="22"/>
          <w:szCs w:val="22"/>
        </w:rPr>
        <w:t>Por se tratar de aquisição de bem permanente específico, novo e zero hora, cuja entrega ocorrerá diretamente na sede do Município de Bandeirantes/PR, não será exigida vistoria prévia dos licitantes ao local de execução do objeto, visto que a natureza do fornecimento não demanda avaliação das condições físicas do local.</w:t>
      </w:r>
    </w:p>
    <w:p w:rsidR="00E901CC" w:rsidRPr="00E901CC" w:rsidRDefault="00E901CC" w:rsidP="00E901CC">
      <w:pPr>
        <w:pStyle w:val="CabealhoeRodap"/>
        <w:ind w:right="-2"/>
        <w:jc w:val="both"/>
        <w:rPr>
          <w:color w:val="000000"/>
          <w:sz w:val="22"/>
          <w:szCs w:val="22"/>
        </w:rPr>
      </w:pPr>
    </w:p>
    <w:p w:rsidR="00D677D8" w:rsidRDefault="00E901CC" w:rsidP="00E901CC">
      <w:pPr>
        <w:pStyle w:val="CabealhoeRodap"/>
        <w:ind w:right="-2"/>
        <w:jc w:val="both"/>
        <w:rPr>
          <w:color w:val="000000"/>
          <w:sz w:val="22"/>
          <w:szCs w:val="22"/>
        </w:rPr>
      </w:pPr>
      <w:r>
        <w:rPr>
          <w:color w:val="000000"/>
          <w:sz w:val="22"/>
          <w:szCs w:val="22"/>
        </w:rPr>
        <w:t xml:space="preserve">1.15.2. </w:t>
      </w:r>
      <w:r w:rsidRPr="00E901CC">
        <w:rPr>
          <w:color w:val="000000"/>
          <w:sz w:val="22"/>
          <w:szCs w:val="22"/>
        </w:rPr>
        <w:t>A contratada, entretanto, será integralmente responsável pela logística de transporte, seguro, d</w:t>
      </w:r>
      <w:r w:rsidRPr="00E901CC">
        <w:rPr>
          <w:color w:val="000000"/>
          <w:sz w:val="22"/>
          <w:szCs w:val="22"/>
        </w:rPr>
        <w:t>o</w:t>
      </w:r>
      <w:r w:rsidRPr="00E901CC">
        <w:rPr>
          <w:color w:val="000000"/>
          <w:sz w:val="22"/>
          <w:szCs w:val="22"/>
        </w:rPr>
        <w:t>cumentação, emplacamento, tributos e eventuais avarias até a entrega definitiva do equipamento, em co</w:t>
      </w:r>
      <w:r w:rsidRPr="00E901CC">
        <w:rPr>
          <w:color w:val="000000"/>
          <w:sz w:val="22"/>
          <w:szCs w:val="22"/>
        </w:rPr>
        <w:t>n</w:t>
      </w:r>
      <w:r w:rsidRPr="00E901CC">
        <w:rPr>
          <w:color w:val="000000"/>
          <w:sz w:val="22"/>
          <w:szCs w:val="22"/>
        </w:rPr>
        <w:t>formidade com as especificações do edital, contrato e Convênio nº 160/2025 – SEAB.</w:t>
      </w:r>
    </w:p>
    <w:p w:rsidR="00E901CC" w:rsidRDefault="00E901CC" w:rsidP="00E901CC">
      <w:pPr>
        <w:pStyle w:val="CabealhoeRodap"/>
        <w:ind w:right="-2"/>
        <w:jc w:val="both"/>
        <w:rPr>
          <w:color w:val="000000"/>
          <w:sz w:val="22"/>
          <w:szCs w:val="22"/>
        </w:rPr>
      </w:pPr>
    </w:p>
    <w:p w:rsidR="00D677D8" w:rsidRDefault="005964FB">
      <w:pPr>
        <w:pStyle w:val="CabealhoeRodap"/>
        <w:ind w:right="-2"/>
        <w:jc w:val="both"/>
        <w:rPr>
          <w:sz w:val="22"/>
          <w:szCs w:val="22"/>
        </w:rPr>
      </w:pPr>
      <w:r>
        <w:rPr>
          <w:b/>
          <w:color w:val="000000"/>
          <w:sz w:val="22"/>
          <w:szCs w:val="22"/>
        </w:rPr>
        <w:t>1.16. Modelo de Gestão</w:t>
      </w:r>
      <w:r>
        <w:rPr>
          <w:color w:val="000000"/>
          <w:sz w:val="22"/>
          <w:szCs w:val="22"/>
        </w:rPr>
        <w:t xml:space="preserve">: O modelo de gestão deverá ser fixado em Termo de Referência, restando nesta oportunidade indicado o fiscal e gestor do contrato como sendo os constantes da Portaria nº </w:t>
      </w:r>
      <w:r>
        <w:rPr>
          <w:color w:val="FF0000"/>
          <w:sz w:val="22"/>
          <w:szCs w:val="22"/>
        </w:rPr>
        <w:t>2.135/2025</w:t>
      </w:r>
      <w:r>
        <w:rPr>
          <w:color w:val="000000" w:themeColor="text1"/>
          <w:sz w:val="22"/>
          <w:szCs w:val="22"/>
        </w:rPr>
        <w:t>:</w:t>
      </w:r>
    </w:p>
    <w:p w:rsidR="00D677D8" w:rsidRDefault="00D677D8">
      <w:pPr>
        <w:pStyle w:val="CabealhoeRodap"/>
        <w:ind w:right="-2"/>
        <w:jc w:val="both"/>
        <w:rPr>
          <w:color w:val="000000" w:themeColor="text1"/>
          <w:sz w:val="22"/>
          <w:szCs w:val="22"/>
        </w:rPr>
      </w:pPr>
    </w:p>
    <w:p w:rsidR="00D677D8" w:rsidRDefault="005964FB">
      <w:pPr>
        <w:ind w:right="-2" w:hanging="2"/>
        <w:jc w:val="both"/>
        <w:rPr>
          <w:sz w:val="22"/>
          <w:szCs w:val="22"/>
        </w:rPr>
      </w:pPr>
      <w:r>
        <w:rPr>
          <w:color w:val="000000" w:themeColor="text1"/>
          <w:sz w:val="22"/>
          <w:szCs w:val="22"/>
        </w:rPr>
        <w:t>1</w:t>
      </w:r>
      <w:r>
        <w:rPr>
          <w:b/>
          <w:color w:val="000000" w:themeColor="text1"/>
          <w:sz w:val="22"/>
          <w:szCs w:val="22"/>
        </w:rPr>
        <w:t>.17. Fiscalização</w:t>
      </w:r>
      <w:r>
        <w:rPr>
          <w:color w:val="000000" w:themeColor="text1"/>
          <w:sz w:val="22"/>
          <w:szCs w:val="22"/>
        </w:rPr>
        <w:t xml:space="preserve">: A fiscalização do contrato deverá ser realizada pela </w:t>
      </w:r>
      <w:r>
        <w:rPr>
          <w:sz w:val="22"/>
          <w:szCs w:val="22"/>
        </w:rPr>
        <w:t>Sr(a):</w:t>
      </w:r>
    </w:p>
    <w:p w:rsidR="00D677D8" w:rsidRDefault="00D677D8">
      <w:pPr>
        <w:ind w:right="-2" w:hanging="2"/>
        <w:jc w:val="both"/>
        <w:rPr>
          <w:sz w:val="22"/>
          <w:szCs w:val="22"/>
        </w:rPr>
      </w:pPr>
    </w:p>
    <w:tbl>
      <w:tblPr>
        <w:tblStyle w:val="Tabelacomgrade"/>
        <w:tblW w:w="9240" w:type="dxa"/>
        <w:tblInd w:w="108" w:type="dxa"/>
        <w:tblLayout w:type="fixed"/>
        <w:tblLook w:val="04A0"/>
      </w:tblPr>
      <w:tblGrid>
        <w:gridCol w:w="3072"/>
        <w:gridCol w:w="1633"/>
        <w:gridCol w:w="4535"/>
      </w:tblGrid>
      <w:tr w:rsidR="00D677D8">
        <w:trPr>
          <w:trHeight w:val="203"/>
        </w:trPr>
        <w:tc>
          <w:tcPr>
            <w:tcW w:w="3072" w:type="dxa"/>
            <w:tcBorders>
              <w:top w:val="nil"/>
              <w:left w:val="nil"/>
              <w:bottom w:val="single" w:sz="12" w:space="0" w:color="000000"/>
            </w:tcBorders>
            <w:shd w:val="clear" w:color="auto" w:fill="DBE5F1" w:themeFill="accent1" w:themeFillTint="33"/>
          </w:tcPr>
          <w:p w:rsidR="00D677D8" w:rsidRDefault="005964FB">
            <w:pPr>
              <w:widowControl w:val="0"/>
              <w:tabs>
                <w:tab w:val="right" w:pos="9071"/>
              </w:tabs>
              <w:ind w:right="-2" w:hanging="2"/>
              <w:jc w:val="center"/>
              <w:textAlignment w:val="baseline"/>
              <w:rPr>
                <w:sz w:val="22"/>
                <w:szCs w:val="22"/>
              </w:rPr>
            </w:pPr>
            <w:r>
              <w:rPr>
                <w:rFonts w:eastAsia="SimSun"/>
                <w:b/>
                <w:bCs/>
                <w:kern w:val="2"/>
                <w:sz w:val="22"/>
                <w:szCs w:val="22"/>
                <w:lang w:eastAsia="zh-CN" w:bidi="hi-IN"/>
              </w:rPr>
              <w:t>SECRETARIA MUNICIPAL</w:t>
            </w:r>
          </w:p>
        </w:tc>
        <w:tc>
          <w:tcPr>
            <w:tcW w:w="1633" w:type="dxa"/>
            <w:tcBorders>
              <w:top w:val="nil"/>
              <w:bottom w:val="single" w:sz="12" w:space="0" w:color="000000"/>
            </w:tcBorders>
            <w:shd w:val="clear" w:color="auto" w:fill="DBE5F1" w:themeFill="accent1" w:themeFillTint="33"/>
          </w:tcPr>
          <w:p w:rsidR="00D677D8" w:rsidRDefault="005964FB">
            <w:pPr>
              <w:widowControl w:val="0"/>
              <w:tabs>
                <w:tab w:val="right" w:pos="9071"/>
              </w:tabs>
              <w:ind w:right="-2"/>
              <w:jc w:val="center"/>
              <w:textAlignment w:val="baseline"/>
              <w:rPr>
                <w:sz w:val="22"/>
                <w:szCs w:val="22"/>
              </w:rPr>
            </w:pPr>
            <w:r>
              <w:rPr>
                <w:rFonts w:eastAsia="SimSun"/>
                <w:b/>
                <w:bCs/>
                <w:kern w:val="2"/>
                <w:sz w:val="22"/>
                <w:szCs w:val="22"/>
                <w:lang w:eastAsia="zh-CN" w:bidi="hi-IN"/>
              </w:rPr>
              <w:t>PORTARIA</w:t>
            </w:r>
          </w:p>
        </w:tc>
        <w:tc>
          <w:tcPr>
            <w:tcW w:w="4535" w:type="dxa"/>
            <w:tcBorders>
              <w:top w:val="nil"/>
              <w:bottom w:val="single" w:sz="12" w:space="0" w:color="000000"/>
              <w:right w:val="nil"/>
            </w:tcBorders>
            <w:shd w:val="clear" w:color="auto" w:fill="DBE5F1" w:themeFill="accent1" w:themeFillTint="33"/>
          </w:tcPr>
          <w:p w:rsidR="00D677D8" w:rsidRDefault="005964FB">
            <w:pPr>
              <w:widowControl w:val="0"/>
              <w:tabs>
                <w:tab w:val="right" w:pos="9071"/>
              </w:tabs>
              <w:ind w:right="-2" w:hanging="2"/>
              <w:jc w:val="center"/>
              <w:textAlignment w:val="baseline"/>
              <w:rPr>
                <w:sz w:val="22"/>
                <w:szCs w:val="22"/>
              </w:rPr>
            </w:pPr>
            <w:r>
              <w:rPr>
                <w:rFonts w:eastAsia="SimSun"/>
                <w:b/>
                <w:bCs/>
                <w:kern w:val="2"/>
                <w:sz w:val="22"/>
                <w:szCs w:val="22"/>
                <w:lang w:eastAsia="zh-CN" w:bidi="hi-IN"/>
              </w:rPr>
              <w:t>NOME DO SERVIDOR</w:t>
            </w:r>
          </w:p>
        </w:tc>
      </w:tr>
      <w:tr w:rsidR="00D677D8">
        <w:trPr>
          <w:trHeight w:val="203"/>
        </w:trPr>
        <w:tc>
          <w:tcPr>
            <w:tcW w:w="3072" w:type="dxa"/>
            <w:tcBorders>
              <w:top w:val="single" w:sz="12" w:space="0" w:color="000000"/>
              <w:left w:val="single" w:sz="12" w:space="0" w:color="000000"/>
              <w:bottom w:val="single" w:sz="12" w:space="0" w:color="000000"/>
              <w:right w:val="nil"/>
            </w:tcBorders>
            <w:shd w:val="clear" w:color="auto" w:fill="auto"/>
          </w:tcPr>
          <w:p w:rsidR="00D677D8" w:rsidRDefault="005964FB">
            <w:pPr>
              <w:widowControl w:val="0"/>
              <w:tabs>
                <w:tab w:val="right" w:pos="9071"/>
              </w:tabs>
              <w:ind w:right="-2" w:hanging="2"/>
              <w:jc w:val="both"/>
              <w:textAlignment w:val="baseline"/>
              <w:rPr>
                <w:sz w:val="22"/>
                <w:szCs w:val="22"/>
              </w:rPr>
            </w:pPr>
            <w:r>
              <w:rPr>
                <w:rFonts w:eastAsia="SimSun"/>
                <w:kern w:val="2"/>
                <w:sz w:val="22"/>
                <w:szCs w:val="22"/>
                <w:lang w:eastAsia="zh-CN" w:bidi="hi-IN"/>
              </w:rPr>
              <w:t>DE AGRICULTURA</w:t>
            </w:r>
          </w:p>
        </w:tc>
        <w:tc>
          <w:tcPr>
            <w:tcW w:w="1633" w:type="dxa"/>
            <w:tcBorders>
              <w:top w:val="single" w:sz="12" w:space="0" w:color="000000"/>
              <w:left w:val="nil"/>
              <w:bottom w:val="single" w:sz="12" w:space="0" w:color="000000"/>
              <w:right w:val="nil"/>
            </w:tcBorders>
            <w:shd w:val="clear" w:color="auto" w:fill="FFFFFF" w:themeFill="background1"/>
          </w:tcPr>
          <w:p w:rsidR="00D677D8" w:rsidRDefault="005964FB">
            <w:pPr>
              <w:widowControl w:val="0"/>
              <w:tabs>
                <w:tab w:val="right" w:pos="9071"/>
              </w:tabs>
              <w:ind w:right="-2" w:hanging="2"/>
              <w:jc w:val="both"/>
              <w:textAlignment w:val="baseline"/>
              <w:rPr>
                <w:sz w:val="22"/>
                <w:szCs w:val="22"/>
              </w:rPr>
            </w:pPr>
            <w:r>
              <w:rPr>
                <w:rFonts w:eastAsia="SimSun"/>
                <w:kern w:val="2"/>
                <w:sz w:val="22"/>
                <w:szCs w:val="22"/>
                <w:lang w:eastAsia="zh-CN" w:bidi="hi-IN"/>
              </w:rPr>
              <w:t>2135/2025</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rsidR="00D677D8" w:rsidRDefault="005964FB">
            <w:pPr>
              <w:widowControl w:val="0"/>
              <w:tabs>
                <w:tab w:val="right" w:pos="9071"/>
              </w:tabs>
              <w:ind w:right="-2" w:hanging="2"/>
              <w:jc w:val="both"/>
              <w:textAlignment w:val="baseline"/>
              <w:rPr>
                <w:sz w:val="22"/>
                <w:szCs w:val="22"/>
              </w:rPr>
            </w:pPr>
            <w:r>
              <w:rPr>
                <w:rFonts w:eastAsia="SimSun"/>
                <w:color w:val="000000"/>
                <w:kern w:val="2"/>
                <w:sz w:val="22"/>
                <w:szCs w:val="22"/>
                <w:lang w:eastAsia="zh-CN" w:bidi="hi-IN"/>
              </w:rPr>
              <w:t>NILDA CRISTINA DA COSTA ANTUNES</w:t>
            </w:r>
          </w:p>
        </w:tc>
      </w:tr>
    </w:tbl>
    <w:p w:rsidR="00D677D8" w:rsidRDefault="00D677D8">
      <w:pPr>
        <w:ind w:right="-2" w:hanging="2"/>
        <w:jc w:val="both"/>
        <w:rPr>
          <w:color w:val="000000" w:themeColor="text1"/>
          <w:sz w:val="22"/>
          <w:szCs w:val="22"/>
        </w:rPr>
      </w:pPr>
    </w:p>
    <w:p w:rsidR="00D677D8" w:rsidRDefault="005964FB">
      <w:pPr>
        <w:ind w:right="-2" w:hanging="2"/>
        <w:jc w:val="both"/>
        <w:rPr>
          <w:sz w:val="22"/>
          <w:szCs w:val="22"/>
        </w:rPr>
      </w:pPr>
      <w:r>
        <w:rPr>
          <w:color w:val="000000" w:themeColor="text1"/>
          <w:sz w:val="22"/>
          <w:szCs w:val="22"/>
        </w:rPr>
        <w:t xml:space="preserve">A gestão do contrato deverá ser realizada pela </w:t>
      </w:r>
      <w:r>
        <w:rPr>
          <w:sz w:val="22"/>
          <w:szCs w:val="22"/>
        </w:rPr>
        <w:t>Sr(a):</w:t>
      </w:r>
    </w:p>
    <w:p w:rsidR="00D677D8" w:rsidRDefault="00D677D8">
      <w:pPr>
        <w:ind w:right="-2" w:hanging="2"/>
        <w:jc w:val="both"/>
        <w:rPr>
          <w:sz w:val="22"/>
          <w:szCs w:val="22"/>
        </w:rPr>
      </w:pPr>
    </w:p>
    <w:tbl>
      <w:tblPr>
        <w:tblStyle w:val="Tabelacomgrade"/>
        <w:tblW w:w="9240" w:type="dxa"/>
        <w:tblInd w:w="108" w:type="dxa"/>
        <w:tblLayout w:type="fixed"/>
        <w:tblLook w:val="04A0"/>
      </w:tblPr>
      <w:tblGrid>
        <w:gridCol w:w="3072"/>
        <w:gridCol w:w="1633"/>
        <w:gridCol w:w="4535"/>
      </w:tblGrid>
      <w:tr w:rsidR="00D677D8">
        <w:trPr>
          <w:trHeight w:val="203"/>
        </w:trPr>
        <w:tc>
          <w:tcPr>
            <w:tcW w:w="3072" w:type="dxa"/>
            <w:tcBorders>
              <w:top w:val="nil"/>
              <w:left w:val="nil"/>
              <w:bottom w:val="single" w:sz="12" w:space="0" w:color="000000"/>
            </w:tcBorders>
            <w:shd w:val="clear" w:color="auto" w:fill="DBE5F1" w:themeFill="accent1" w:themeFillTint="33"/>
          </w:tcPr>
          <w:p w:rsidR="00D677D8" w:rsidRDefault="005964FB">
            <w:pPr>
              <w:widowControl w:val="0"/>
              <w:tabs>
                <w:tab w:val="right" w:pos="9071"/>
              </w:tabs>
              <w:ind w:right="-2" w:hanging="2"/>
              <w:jc w:val="center"/>
              <w:textAlignment w:val="baseline"/>
              <w:rPr>
                <w:sz w:val="22"/>
                <w:szCs w:val="22"/>
              </w:rPr>
            </w:pPr>
            <w:r>
              <w:rPr>
                <w:rFonts w:eastAsia="SimSun"/>
                <w:b/>
                <w:bCs/>
                <w:kern w:val="2"/>
                <w:sz w:val="22"/>
                <w:szCs w:val="22"/>
                <w:lang w:eastAsia="zh-CN" w:bidi="hi-IN"/>
              </w:rPr>
              <w:t>SECRETARIA MUNICIPAL</w:t>
            </w:r>
          </w:p>
        </w:tc>
        <w:tc>
          <w:tcPr>
            <w:tcW w:w="1633" w:type="dxa"/>
            <w:tcBorders>
              <w:top w:val="nil"/>
              <w:bottom w:val="single" w:sz="12" w:space="0" w:color="000000"/>
            </w:tcBorders>
            <w:shd w:val="clear" w:color="auto" w:fill="DBE5F1" w:themeFill="accent1" w:themeFillTint="33"/>
          </w:tcPr>
          <w:p w:rsidR="00D677D8" w:rsidRDefault="005964FB">
            <w:pPr>
              <w:widowControl w:val="0"/>
              <w:tabs>
                <w:tab w:val="right" w:pos="9071"/>
              </w:tabs>
              <w:ind w:right="-2"/>
              <w:jc w:val="center"/>
              <w:textAlignment w:val="baseline"/>
              <w:rPr>
                <w:sz w:val="22"/>
                <w:szCs w:val="22"/>
              </w:rPr>
            </w:pPr>
            <w:r>
              <w:rPr>
                <w:rFonts w:eastAsia="SimSun"/>
                <w:b/>
                <w:bCs/>
                <w:kern w:val="2"/>
                <w:sz w:val="22"/>
                <w:szCs w:val="22"/>
                <w:lang w:eastAsia="zh-CN" w:bidi="hi-IN"/>
              </w:rPr>
              <w:t>PORTARIA</w:t>
            </w:r>
          </w:p>
        </w:tc>
        <w:tc>
          <w:tcPr>
            <w:tcW w:w="4535" w:type="dxa"/>
            <w:tcBorders>
              <w:top w:val="nil"/>
              <w:bottom w:val="single" w:sz="12" w:space="0" w:color="000000"/>
              <w:right w:val="nil"/>
            </w:tcBorders>
            <w:shd w:val="clear" w:color="auto" w:fill="DBE5F1" w:themeFill="accent1" w:themeFillTint="33"/>
          </w:tcPr>
          <w:p w:rsidR="00D677D8" w:rsidRDefault="005964FB">
            <w:pPr>
              <w:widowControl w:val="0"/>
              <w:tabs>
                <w:tab w:val="right" w:pos="9071"/>
              </w:tabs>
              <w:ind w:right="-2" w:hanging="2"/>
              <w:jc w:val="center"/>
              <w:textAlignment w:val="baseline"/>
              <w:rPr>
                <w:sz w:val="22"/>
                <w:szCs w:val="22"/>
              </w:rPr>
            </w:pPr>
            <w:r>
              <w:rPr>
                <w:rFonts w:eastAsia="SimSun"/>
                <w:b/>
                <w:bCs/>
                <w:kern w:val="2"/>
                <w:sz w:val="22"/>
                <w:szCs w:val="22"/>
                <w:lang w:eastAsia="zh-CN" w:bidi="hi-IN"/>
              </w:rPr>
              <w:t>NOME DO SERVIDOR</w:t>
            </w:r>
          </w:p>
        </w:tc>
      </w:tr>
      <w:tr w:rsidR="00D677D8">
        <w:trPr>
          <w:trHeight w:val="203"/>
        </w:trPr>
        <w:tc>
          <w:tcPr>
            <w:tcW w:w="3072" w:type="dxa"/>
            <w:tcBorders>
              <w:top w:val="single" w:sz="12" w:space="0" w:color="000000"/>
              <w:left w:val="single" w:sz="12" w:space="0" w:color="000000"/>
              <w:bottom w:val="single" w:sz="12" w:space="0" w:color="000000"/>
              <w:right w:val="nil"/>
            </w:tcBorders>
            <w:shd w:val="clear" w:color="auto" w:fill="auto"/>
          </w:tcPr>
          <w:p w:rsidR="00D677D8" w:rsidRDefault="005964FB">
            <w:pPr>
              <w:widowControl w:val="0"/>
              <w:tabs>
                <w:tab w:val="right" w:pos="9071"/>
              </w:tabs>
              <w:ind w:right="-2" w:hanging="2"/>
              <w:jc w:val="both"/>
              <w:textAlignment w:val="baseline"/>
              <w:rPr>
                <w:sz w:val="22"/>
                <w:szCs w:val="22"/>
              </w:rPr>
            </w:pPr>
            <w:r>
              <w:rPr>
                <w:rFonts w:eastAsia="SimSun"/>
                <w:kern w:val="2"/>
                <w:sz w:val="22"/>
                <w:szCs w:val="22"/>
                <w:lang w:eastAsia="zh-CN" w:bidi="hi-IN"/>
              </w:rPr>
              <w:t>DE AGRICULTURA</w:t>
            </w:r>
          </w:p>
        </w:tc>
        <w:tc>
          <w:tcPr>
            <w:tcW w:w="1633" w:type="dxa"/>
            <w:tcBorders>
              <w:top w:val="single" w:sz="12" w:space="0" w:color="000000"/>
              <w:left w:val="nil"/>
              <w:bottom w:val="single" w:sz="12" w:space="0" w:color="000000"/>
              <w:right w:val="nil"/>
            </w:tcBorders>
            <w:shd w:val="clear" w:color="auto" w:fill="FFFFFF" w:themeFill="background1"/>
          </w:tcPr>
          <w:p w:rsidR="00D677D8" w:rsidRDefault="005964FB">
            <w:pPr>
              <w:widowControl w:val="0"/>
              <w:tabs>
                <w:tab w:val="right" w:pos="9071"/>
              </w:tabs>
              <w:ind w:right="-2" w:hanging="2"/>
              <w:jc w:val="both"/>
              <w:textAlignment w:val="baseline"/>
              <w:rPr>
                <w:sz w:val="22"/>
                <w:szCs w:val="22"/>
              </w:rPr>
            </w:pPr>
            <w:r>
              <w:rPr>
                <w:rFonts w:eastAsia="SimSun"/>
                <w:color w:val="000000"/>
                <w:kern w:val="2"/>
                <w:sz w:val="22"/>
                <w:szCs w:val="22"/>
                <w:lang w:eastAsia="zh-CN" w:bidi="hi-IN"/>
              </w:rPr>
              <w:t>2135/2025</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rsidR="00D677D8" w:rsidRDefault="005964FB">
            <w:pPr>
              <w:widowControl w:val="0"/>
              <w:tabs>
                <w:tab w:val="right" w:pos="9071"/>
              </w:tabs>
              <w:ind w:right="-2" w:hanging="2"/>
              <w:jc w:val="both"/>
              <w:textAlignment w:val="baseline"/>
              <w:rPr>
                <w:sz w:val="22"/>
                <w:szCs w:val="22"/>
              </w:rPr>
            </w:pPr>
            <w:r>
              <w:rPr>
                <w:rFonts w:eastAsia="SimSun"/>
                <w:color w:val="000000"/>
                <w:kern w:val="2"/>
                <w:sz w:val="22"/>
                <w:szCs w:val="22"/>
                <w:lang w:eastAsia="zh-CN" w:bidi="hi-IN"/>
              </w:rPr>
              <w:t>CAMILA DIAS RAMALHO MATTA</w:t>
            </w:r>
          </w:p>
        </w:tc>
      </w:tr>
    </w:tbl>
    <w:p w:rsidR="00D677D8" w:rsidRDefault="00D677D8">
      <w:pPr>
        <w:ind w:right="-2" w:hanging="2"/>
        <w:jc w:val="both"/>
        <w:rPr>
          <w:color w:val="000000" w:themeColor="text1"/>
          <w:sz w:val="22"/>
          <w:szCs w:val="22"/>
        </w:rPr>
      </w:pPr>
    </w:p>
    <w:p w:rsidR="00D677D8" w:rsidRDefault="00D677D8">
      <w:pPr>
        <w:ind w:right="-2" w:hanging="2"/>
        <w:jc w:val="both"/>
        <w:rPr>
          <w:color w:val="000000" w:themeColor="text1"/>
          <w:sz w:val="22"/>
          <w:szCs w:val="22"/>
        </w:rPr>
      </w:pPr>
    </w:p>
    <w:p w:rsidR="00D677D8" w:rsidRDefault="005964FB">
      <w:pPr>
        <w:ind w:right="-2" w:hanging="2"/>
        <w:jc w:val="both"/>
        <w:rPr>
          <w:b/>
          <w:color w:val="000000" w:themeColor="text1"/>
          <w:sz w:val="22"/>
          <w:szCs w:val="22"/>
        </w:rPr>
      </w:pPr>
      <w:r>
        <w:rPr>
          <w:b/>
          <w:color w:val="000000" w:themeColor="text1"/>
          <w:sz w:val="22"/>
          <w:szCs w:val="22"/>
        </w:rPr>
        <w:t>1.18. Do sigilo das informações e da proteção a dados pessoais</w:t>
      </w:r>
    </w:p>
    <w:p w:rsidR="00D677D8" w:rsidRDefault="00D677D8">
      <w:pPr>
        <w:ind w:right="-2" w:hanging="2"/>
        <w:jc w:val="both"/>
        <w:rPr>
          <w:color w:val="000000" w:themeColor="text1"/>
          <w:sz w:val="22"/>
          <w:szCs w:val="22"/>
        </w:rPr>
      </w:pPr>
    </w:p>
    <w:p w:rsidR="00D677D8" w:rsidRDefault="005964FB">
      <w:pPr>
        <w:ind w:right="-2" w:hanging="2"/>
        <w:jc w:val="both"/>
        <w:rPr>
          <w:color w:val="000000" w:themeColor="text1"/>
          <w:sz w:val="22"/>
          <w:szCs w:val="22"/>
        </w:rPr>
      </w:pPr>
      <w:r>
        <w:rPr>
          <w:color w:val="000000" w:themeColor="text1"/>
          <w:sz w:val="22"/>
          <w:szCs w:val="22"/>
        </w:rPr>
        <w:t>1.18.1. Em cumprimento ao disposto na Lei nº 13.709/2018 (Lei Geral de Proteção de Dados – LGPD), na Lei nº 14.133/2021 e demais normas correlatas, a CONTRATADA deverá:</w:t>
      </w:r>
    </w:p>
    <w:p w:rsidR="00D677D8" w:rsidRDefault="00D677D8">
      <w:pPr>
        <w:ind w:right="-2" w:hanging="2"/>
        <w:jc w:val="both"/>
        <w:rPr>
          <w:color w:val="000000" w:themeColor="text1"/>
          <w:sz w:val="22"/>
          <w:szCs w:val="22"/>
        </w:rPr>
      </w:pPr>
    </w:p>
    <w:p w:rsidR="00D677D8" w:rsidRDefault="005964FB">
      <w:pPr>
        <w:ind w:right="-2" w:hanging="2"/>
        <w:jc w:val="both"/>
        <w:rPr>
          <w:color w:val="000000" w:themeColor="text1"/>
          <w:sz w:val="22"/>
          <w:szCs w:val="22"/>
        </w:rPr>
      </w:pPr>
      <w:r>
        <w:rPr>
          <w:color w:val="000000" w:themeColor="text1"/>
          <w:sz w:val="22"/>
          <w:szCs w:val="22"/>
        </w:rPr>
        <w:t>a) Manter sigilo absoluto sobre todas as informações, dados, documentos e especificações técnicas obt</w:t>
      </w:r>
      <w:r>
        <w:rPr>
          <w:color w:val="000000" w:themeColor="text1"/>
          <w:sz w:val="22"/>
          <w:szCs w:val="22"/>
        </w:rPr>
        <w:t>i</w:t>
      </w:r>
      <w:r>
        <w:rPr>
          <w:color w:val="000000" w:themeColor="text1"/>
          <w:sz w:val="22"/>
          <w:szCs w:val="22"/>
        </w:rPr>
        <w:t>das em razão da execução contratual, abstendo-se de divulgá-los, repassá-los ou utilizá-los para qualquer finalidade diversa daquela prevista no contrato;</w:t>
      </w:r>
    </w:p>
    <w:p w:rsidR="00D677D8" w:rsidRDefault="00D677D8">
      <w:pPr>
        <w:ind w:right="-2" w:hanging="2"/>
        <w:jc w:val="both"/>
        <w:rPr>
          <w:color w:val="000000" w:themeColor="text1"/>
          <w:sz w:val="22"/>
          <w:szCs w:val="22"/>
        </w:rPr>
      </w:pPr>
    </w:p>
    <w:p w:rsidR="00D677D8" w:rsidRDefault="005964FB">
      <w:pPr>
        <w:ind w:right="-2" w:hanging="2"/>
        <w:jc w:val="both"/>
        <w:rPr>
          <w:color w:val="000000" w:themeColor="text1"/>
          <w:sz w:val="22"/>
          <w:szCs w:val="22"/>
        </w:rPr>
      </w:pPr>
      <w:r>
        <w:rPr>
          <w:color w:val="000000" w:themeColor="text1"/>
          <w:sz w:val="22"/>
          <w:szCs w:val="22"/>
        </w:rPr>
        <w:t>b) Adotar medidas técnicas e administrativas aptas a proteger os dados pessoais eventualmente tratados durante a execução do contrato, prevenindo acessos não autorizados e situações acidentais ou ilícitas de destruição, perda, alteração, comunicação ou difusão de dados;</w:t>
      </w:r>
    </w:p>
    <w:p w:rsidR="00D677D8" w:rsidRDefault="00D677D8">
      <w:pPr>
        <w:ind w:right="-2" w:hanging="2"/>
        <w:jc w:val="both"/>
        <w:rPr>
          <w:color w:val="000000" w:themeColor="text1"/>
          <w:sz w:val="22"/>
          <w:szCs w:val="22"/>
        </w:rPr>
      </w:pPr>
    </w:p>
    <w:p w:rsidR="00D677D8" w:rsidRDefault="005964FB">
      <w:pPr>
        <w:ind w:right="-2" w:hanging="2"/>
        <w:jc w:val="both"/>
        <w:rPr>
          <w:color w:val="000000" w:themeColor="text1"/>
          <w:sz w:val="22"/>
          <w:szCs w:val="22"/>
        </w:rPr>
      </w:pPr>
      <w:r>
        <w:rPr>
          <w:color w:val="000000" w:themeColor="text1"/>
          <w:sz w:val="22"/>
          <w:szCs w:val="22"/>
        </w:rPr>
        <w:t>c) Garantir que seus empregados, prepostos e subcontratados (quando autorizados) observem as mesmas obrigações de sigilo e proteção de dados, respondendo integralmente por eventuais infrações;</w:t>
      </w:r>
    </w:p>
    <w:p w:rsidR="00D677D8" w:rsidRDefault="00D677D8">
      <w:pPr>
        <w:ind w:right="-2" w:hanging="2"/>
        <w:jc w:val="both"/>
        <w:rPr>
          <w:color w:val="000000" w:themeColor="text1"/>
          <w:sz w:val="22"/>
          <w:szCs w:val="22"/>
        </w:rPr>
      </w:pPr>
    </w:p>
    <w:p w:rsidR="00D677D8" w:rsidRDefault="005964FB">
      <w:pPr>
        <w:ind w:right="-2" w:hanging="2"/>
        <w:jc w:val="both"/>
        <w:rPr>
          <w:color w:val="000000" w:themeColor="text1"/>
          <w:sz w:val="22"/>
          <w:szCs w:val="22"/>
        </w:rPr>
      </w:pPr>
      <w:r>
        <w:rPr>
          <w:color w:val="000000" w:themeColor="text1"/>
          <w:sz w:val="22"/>
          <w:szCs w:val="22"/>
        </w:rPr>
        <w:t>d) Notificar imediatamente a Administração Pública sobre qualquer incidente de segurança envolvendo dados pessoais ou informações sigilosas, colaborando com a apuração e a adoção de medidas corretivas;</w:t>
      </w:r>
    </w:p>
    <w:p w:rsidR="00D677D8" w:rsidRDefault="00D677D8">
      <w:pPr>
        <w:ind w:right="-2" w:hanging="2"/>
        <w:jc w:val="both"/>
        <w:rPr>
          <w:color w:val="000000" w:themeColor="text1"/>
          <w:sz w:val="22"/>
          <w:szCs w:val="22"/>
        </w:rPr>
      </w:pPr>
    </w:p>
    <w:p w:rsidR="00D677D8" w:rsidRDefault="005964FB">
      <w:pPr>
        <w:ind w:right="-2" w:hanging="2"/>
        <w:jc w:val="both"/>
        <w:rPr>
          <w:color w:val="000000" w:themeColor="text1"/>
          <w:sz w:val="22"/>
          <w:szCs w:val="22"/>
        </w:rPr>
      </w:pPr>
      <w:r>
        <w:rPr>
          <w:color w:val="000000" w:themeColor="text1"/>
          <w:sz w:val="22"/>
          <w:szCs w:val="22"/>
        </w:rPr>
        <w:t>e) Restituir ou destruir, ao término da execução contratual, todos os documentos e informações obtidos, em conformidade com as orientações da CONTRATANTE e a legislação vigente, salvo quando a guarda for exigida por lei.</w:t>
      </w:r>
    </w:p>
    <w:p w:rsidR="00D677D8" w:rsidRDefault="00D677D8">
      <w:pPr>
        <w:ind w:right="-2" w:hanging="2"/>
        <w:jc w:val="both"/>
        <w:rPr>
          <w:color w:val="000000" w:themeColor="text1"/>
          <w:sz w:val="22"/>
          <w:szCs w:val="22"/>
        </w:rPr>
      </w:pPr>
    </w:p>
    <w:p w:rsidR="00D677D8" w:rsidRDefault="005964FB">
      <w:pPr>
        <w:ind w:right="-2" w:hanging="2"/>
        <w:jc w:val="both"/>
        <w:rPr>
          <w:color w:val="000000" w:themeColor="text1"/>
          <w:sz w:val="22"/>
          <w:szCs w:val="22"/>
        </w:rPr>
      </w:pPr>
      <w:r>
        <w:rPr>
          <w:color w:val="000000" w:themeColor="text1"/>
          <w:sz w:val="22"/>
          <w:szCs w:val="22"/>
        </w:rPr>
        <w:t>O descumprimento destas obrigações sujeitará a CONTRATADA às sanções previstas em contrato, na Lei nº 14.133/2021, na LGPD e na legislação aplicável, sem prejuízo da reparação por eventuais danos causados à Administração Pública ou a terceiros.</w:t>
      </w:r>
    </w:p>
    <w:p w:rsidR="00D677D8" w:rsidRDefault="00D677D8">
      <w:pPr>
        <w:ind w:right="-2" w:hanging="2"/>
        <w:jc w:val="both"/>
        <w:rPr>
          <w:color w:val="000000" w:themeColor="text1"/>
          <w:sz w:val="22"/>
          <w:szCs w:val="22"/>
        </w:rPr>
      </w:pPr>
    </w:p>
    <w:p w:rsidR="00D677D8" w:rsidRDefault="00D677D8">
      <w:pPr>
        <w:ind w:right="-2" w:hanging="2"/>
        <w:jc w:val="both"/>
        <w:rPr>
          <w:color w:val="000000" w:themeColor="text1"/>
          <w:sz w:val="22"/>
          <w:szCs w:val="22"/>
        </w:rPr>
      </w:pPr>
    </w:p>
    <w:p w:rsidR="00D677D8" w:rsidRDefault="005964FB">
      <w:pPr>
        <w:pStyle w:val="CabealhoeRodap"/>
        <w:shd w:val="clear" w:color="auto" w:fill="8DB3E2" w:themeFill="text2" w:themeFillTint="66"/>
        <w:ind w:right="-2"/>
        <w:rPr>
          <w:b/>
          <w:bCs/>
          <w:sz w:val="22"/>
          <w:szCs w:val="22"/>
          <w:shd w:val="clear" w:color="auto" w:fill="B4C7DC"/>
        </w:rPr>
      </w:pPr>
      <w:r>
        <w:rPr>
          <w:b/>
          <w:bCs/>
          <w:sz w:val="22"/>
          <w:szCs w:val="22"/>
          <w:shd w:val="clear" w:color="auto" w:fill="B4C7DC"/>
        </w:rPr>
        <w:t xml:space="preserve">2 . Justificativas para o parcelamento ou não da contratação (artigo 15,§1º, VIII do Decreto nº 3.537/2023): </w:t>
      </w:r>
    </w:p>
    <w:p w:rsidR="00D677D8" w:rsidRDefault="00D677D8">
      <w:pPr>
        <w:ind w:right="-2"/>
        <w:jc w:val="both"/>
        <w:rPr>
          <w:bCs/>
        </w:rPr>
      </w:pPr>
    </w:p>
    <w:p w:rsidR="00E901CC" w:rsidRPr="00E901CC" w:rsidRDefault="00E901CC" w:rsidP="00E901CC">
      <w:pPr>
        <w:ind w:right="-2"/>
        <w:jc w:val="both"/>
        <w:rPr>
          <w:bCs/>
        </w:rPr>
      </w:pPr>
      <w:r w:rsidRPr="00E901CC">
        <w:rPr>
          <w:bCs/>
        </w:rPr>
        <w:t>A presente contratação tem por objeto a aquisição de 01 (uma) pá carregadeira sobre rodas, nova, zero hora, destinada à Secretaria Municipal de Agricultura e Pecuária de Bandeirantes/PR, com recursos do Convênio nº 160/2025 – SEAB.</w:t>
      </w:r>
    </w:p>
    <w:p w:rsidR="00E901CC" w:rsidRPr="00E901CC" w:rsidRDefault="00E901CC" w:rsidP="00E901CC">
      <w:pPr>
        <w:ind w:right="-2"/>
        <w:jc w:val="both"/>
        <w:rPr>
          <w:bCs/>
        </w:rPr>
      </w:pPr>
    </w:p>
    <w:p w:rsidR="00E901CC" w:rsidRPr="00E901CC" w:rsidRDefault="00E901CC" w:rsidP="00E901CC">
      <w:pPr>
        <w:ind w:right="-2"/>
        <w:jc w:val="both"/>
        <w:rPr>
          <w:bCs/>
        </w:rPr>
      </w:pPr>
      <w:r w:rsidRPr="00E901CC">
        <w:rPr>
          <w:bCs/>
        </w:rPr>
        <w:t>O objeto possui natureza unitária e indivisível, não comportando parcelamento. Isso porque a pá carregadeira é um bem permanente completo, cujas funcionalidades dependem da entrega int</w:t>
      </w:r>
      <w:r w:rsidRPr="00E901CC">
        <w:rPr>
          <w:bCs/>
        </w:rPr>
        <w:t>e</w:t>
      </w:r>
      <w:r w:rsidRPr="00E901CC">
        <w:rPr>
          <w:bCs/>
        </w:rPr>
        <w:t>gral do equipamento. O fracionamento do objeto implicaria inviabilidade técnica, risco de aqu</w:t>
      </w:r>
      <w:r w:rsidRPr="00E901CC">
        <w:rPr>
          <w:bCs/>
        </w:rPr>
        <w:t>i</w:t>
      </w:r>
      <w:r w:rsidRPr="00E901CC">
        <w:rPr>
          <w:bCs/>
        </w:rPr>
        <w:t>sição de partes incompatíveis e comprometimento da execução contratual.</w:t>
      </w:r>
    </w:p>
    <w:p w:rsidR="00E901CC" w:rsidRPr="00E901CC" w:rsidRDefault="00E901CC" w:rsidP="00E901CC">
      <w:pPr>
        <w:ind w:right="-2"/>
        <w:jc w:val="both"/>
        <w:rPr>
          <w:bCs/>
        </w:rPr>
      </w:pPr>
    </w:p>
    <w:p w:rsidR="00E901CC" w:rsidRPr="00E901CC" w:rsidRDefault="00E901CC" w:rsidP="00E901CC">
      <w:pPr>
        <w:ind w:right="-2"/>
        <w:jc w:val="both"/>
        <w:rPr>
          <w:bCs/>
        </w:rPr>
      </w:pPr>
      <w:r w:rsidRPr="00E901CC">
        <w:rPr>
          <w:bCs/>
        </w:rPr>
        <w:t>Nos termos do art. 40 da Lei nº 14.133/2021, o parcelamento deve ser adotado sempre que po</w:t>
      </w:r>
      <w:r w:rsidRPr="00E901CC">
        <w:rPr>
          <w:bCs/>
        </w:rPr>
        <w:t>s</w:t>
      </w:r>
      <w:r w:rsidRPr="00E901CC">
        <w:rPr>
          <w:bCs/>
        </w:rPr>
        <w:t>sível, desde que não prejudique a funcionalidade do objeto ou gere perda de economia de escala. No presente caso, não se aplica, tendo em vista que:</w:t>
      </w:r>
    </w:p>
    <w:p w:rsidR="00E901CC" w:rsidRPr="00E901CC" w:rsidRDefault="00E901CC" w:rsidP="00E901CC">
      <w:pPr>
        <w:ind w:right="-2"/>
        <w:jc w:val="both"/>
        <w:rPr>
          <w:bCs/>
        </w:rPr>
      </w:pPr>
    </w:p>
    <w:p w:rsidR="00E901CC" w:rsidRPr="00E901CC" w:rsidRDefault="00E901CC" w:rsidP="00E901CC">
      <w:pPr>
        <w:ind w:right="-2"/>
        <w:jc w:val="both"/>
        <w:rPr>
          <w:bCs/>
        </w:rPr>
      </w:pPr>
      <w:r w:rsidRPr="00E901CC">
        <w:rPr>
          <w:bCs/>
        </w:rPr>
        <w:t>a) o equipamento deve ser entregue inteiro e pronto para uso, conforme especificações técnicas definidas no Convênio nº 160/2025 – SEAB;</w:t>
      </w:r>
    </w:p>
    <w:p w:rsidR="00E901CC" w:rsidRPr="00E901CC" w:rsidRDefault="00E901CC" w:rsidP="00E901CC">
      <w:pPr>
        <w:ind w:right="-2"/>
        <w:jc w:val="both"/>
        <w:rPr>
          <w:bCs/>
        </w:rPr>
      </w:pPr>
      <w:r w:rsidRPr="00E901CC">
        <w:rPr>
          <w:bCs/>
        </w:rPr>
        <w:t>b) a fragmentação da aquisição não atenderia ao interesse público e poderia gerar litígios quanto a garantias e responsabilidades;</w:t>
      </w:r>
    </w:p>
    <w:p w:rsidR="00E901CC" w:rsidRPr="00E901CC" w:rsidRDefault="00E901CC" w:rsidP="00E901CC">
      <w:pPr>
        <w:ind w:right="-2"/>
        <w:jc w:val="both"/>
        <w:rPr>
          <w:bCs/>
        </w:rPr>
      </w:pPr>
      <w:r w:rsidRPr="00E901CC">
        <w:rPr>
          <w:bCs/>
        </w:rPr>
        <w:t>c) a aquisição em item único assegura maior eficiência, economicidade e segurança jurídica na execução da despesa.</w:t>
      </w:r>
    </w:p>
    <w:p w:rsidR="00E901CC" w:rsidRPr="00E901CC" w:rsidRDefault="00E901CC" w:rsidP="00E901CC">
      <w:pPr>
        <w:ind w:right="-2"/>
        <w:jc w:val="both"/>
        <w:rPr>
          <w:bCs/>
        </w:rPr>
      </w:pPr>
    </w:p>
    <w:p w:rsidR="00E901CC" w:rsidRDefault="00E901CC" w:rsidP="00E901CC">
      <w:pPr>
        <w:ind w:right="-2"/>
        <w:jc w:val="both"/>
        <w:rPr>
          <w:bCs/>
        </w:rPr>
      </w:pPr>
      <w:r w:rsidRPr="00E901CC">
        <w:rPr>
          <w:bCs/>
        </w:rPr>
        <w:t>Dessa forma, a contratação será realizada em item único, por se tratar de bem indivisível, ate</w:t>
      </w:r>
      <w:r w:rsidRPr="00E901CC">
        <w:rPr>
          <w:bCs/>
        </w:rPr>
        <w:t>n</w:t>
      </w:r>
      <w:r w:rsidRPr="00E901CC">
        <w:rPr>
          <w:bCs/>
        </w:rPr>
        <w:t>dendo às disposições legais e regulamentares aplicáveis.</w:t>
      </w:r>
    </w:p>
    <w:p w:rsidR="00E901CC" w:rsidRDefault="00E901CC">
      <w:pPr>
        <w:ind w:right="-2"/>
        <w:jc w:val="both"/>
        <w:rPr>
          <w:bCs/>
        </w:rPr>
      </w:pPr>
    </w:p>
    <w:p w:rsidR="00D677D8" w:rsidRDefault="005964FB">
      <w:pPr>
        <w:pStyle w:val="PargrafodaLista"/>
        <w:shd w:val="clear" w:color="auto" w:fill="8DB3E2" w:themeFill="text2" w:themeFillTint="66"/>
        <w:ind w:left="0" w:right="-2"/>
        <w:rPr>
          <w:sz w:val="22"/>
          <w:szCs w:val="22"/>
        </w:rPr>
      </w:pPr>
      <w:r>
        <w:rPr>
          <w:b/>
          <w:bCs/>
          <w:sz w:val="22"/>
          <w:szCs w:val="22"/>
          <w:shd w:val="clear" w:color="auto" w:fill="B4C7DC"/>
        </w:rPr>
        <w:t>3- Contratações correlatas e/ou interdependentes (art. 15, §1º, XI do Decreto nº3.537/2023):</w:t>
      </w:r>
    </w:p>
    <w:p w:rsidR="00D677D8" w:rsidRDefault="00D677D8">
      <w:pPr>
        <w:ind w:left="-1" w:right="-2"/>
        <w:jc w:val="both"/>
        <w:rPr>
          <w:bCs/>
          <w:color w:val="000000" w:themeColor="text1"/>
        </w:rPr>
      </w:pPr>
    </w:p>
    <w:p w:rsidR="00E901CC" w:rsidRPr="00E901CC" w:rsidRDefault="00E901CC" w:rsidP="00E901CC">
      <w:pPr>
        <w:ind w:right="-2"/>
        <w:jc w:val="both"/>
        <w:rPr>
          <w:bCs/>
          <w:color w:val="000000" w:themeColor="text1"/>
          <w:sz w:val="22"/>
          <w:szCs w:val="22"/>
        </w:rPr>
      </w:pPr>
      <w:r w:rsidRPr="00E901CC">
        <w:rPr>
          <w:bCs/>
          <w:color w:val="000000" w:themeColor="text1"/>
          <w:sz w:val="22"/>
          <w:szCs w:val="22"/>
        </w:rPr>
        <w:t>A presente contratação, que tem por objeto a aquisição de 01 (uma) pá carregadeira nova, zero hora, não está vinculada a outras contratações correlatas ou interdependentes, por se tratar de bem permanente a</w:t>
      </w:r>
      <w:r w:rsidRPr="00E901CC">
        <w:rPr>
          <w:bCs/>
          <w:color w:val="000000" w:themeColor="text1"/>
          <w:sz w:val="22"/>
          <w:szCs w:val="22"/>
        </w:rPr>
        <w:t>u</w:t>
      </w:r>
      <w:r w:rsidRPr="00E901CC">
        <w:rPr>
          <w:bCs/>
          <w:color w:val="000000" w:themeColor="text1"/>
          <w:sz w:val="22"/>
          <w:szCs w:val="22"/>
        </w:rPr>
        <w:t>tônomo e indivisível, cuja entrega será realizada em parcela única, conforme previsto neste Estudo Técn</w:t>
      </w:r>
      <w:r w:rsidRPr="00E901CC">
        <w:rPr>
          <w:bCs/>
          <w:color w:val="000000" w:themeColor="text1"/>
          <w:sz w:val="22"/>
          <w:szCs w:val="22"/>
        </w:rPr>
        <w:t>i</w:t>
      </w:r>
      <w:r w:rsidRPr="00E901CC">
        <w:rPr>
          <w:bCs/>
          <w:color w:val="000000" w:themeColor="text1"/>
          <w:sz w:val="22"/>
          <w:szCs w:val="22"/>
        </w:rPr>
        <w:t>co Preliminar.</w:t>
      </w:r>
    </w:p>
    <w:p w:rsidR="00E901CC" w:rsidRPr="00E901CC" w:rsidRDefault="00E901CC" w:rsidP="00E901CC">
      <w:pPr>
        <w:ind w:right="-2"/>
        <w:jc w:val="both"/>
        <w:rPr>
          <w:bCs/>
          <w:color w:val="000000" w:themeColor="text1"/>
          <w:sz w:val="22"/>
          <w:szCs w:val="22"/>
        </w:rPr>
      </w:pPr>
    </w:p>
    <w:p w:rsidR="00E901CC" w:rsidRPr="00E901CC" w:rsidRDefault="00E901CC" w:rsidP="00E901CC">
      <w:pPr>
        <w:ind w:right="-2"/>
        <w:jc w:val="both"/>
        <w:rPr>
          <w:bCs/>
          <w:color w:val="000000" w:themeColor="text1"/>
          <w:sz w:val="22"/>
          <w:szCs w:val="22"/>
        </w:rPr>
      </w:pPr>
      <w:r w:rsidRPr="00E901CC">
        <w:rPr>
          <w:bCs/>
          <w:color w:val="000000" w:themeColor="text1"/>
          <w:sz w:val="22"/>
          <w:szCs w:val="22"/>
        </w:rPr>
        <w:t>Todavia, cumpre destacar que, após a incorporação do bem ao patrimônio municipal, poderão ocorrer despesas de natureza acessória ou ordinária, tais como: abastecimento de combustível, manutenção pr</w:t>
      </w:r>
      <w:r w:rsidRPr="00E901CC">
        <w:rPr>
          <w:bCs/>
          <w:color w:val="000000" w:themeColor="text1"/>
          <w:sz w:val="22"/>
          <w:szCs w:val="22"/>
        </w:rPr>
        <w:t>e</w:t>
      </w:r>
      <w:r w:rsidRPr="00E901CC">
        <w:rPr>
          <w:bCs/>
          <w:color w:val="000000" w:themeColor="text1"/>
          <w:sz w:val="22"/>
          <w:szCs w:val="22"/>
        </w:rPr>
        <w:t xml:space="preserve">ventiva e corretiva, aquisição de peças de reposição e contratação de seguro. Tais demandas, entretanto, </w:t>
      </w:r>
      <w:r w:rsidRPr="00E901CC">
        <w:rPr>
          <w:bCs/>
          <w:color w:val="000000" w:themeColor="text1"/>
          <w:sz w:val="22"/>
          <w:szCs w:val="22"/>
        </w:rPr>
        <w:lastRenderedPageBreak/>
        <w:t>serão objeto de processos próprios e independentes, não se caracterizando como condição para a presente contratação.</w:t>
      </w:r>
    </w:p>
    <w:p w:rsidR="00E901CC" w:rsidRPr="00E901CC" w:rsidRDefault="00E901CC" w:rsidP="00E901CC">
      <w:pPr>
        <w:ind w:right="-2"/>
        <w:jc w:val="both"/>
        <w:rPr>
          <w:bCs/>
          <w:color w:val="000000" w:themeColor="text1"/>
          <w:sz w:val="22"/>
          <w:szCs w:val="22"/>
        </w:rPr>
      </w:pPr>
    </w:p>
    <w:p w:rsidR="00D677D8" w:rsidRDefault="00E901CC" w:rsidP="00E901CC">
      <w:pPr>
        <w:ind w:right="-2"/>
        <w:jc w:val="both"/>
        <w:rPr>
          <w:bCs/>
          <w:color w:val="000000" w:themeColor="text1"/>
          <w:sz w:val="22"/>
          <w:szCs w:val="22"/>
        </w:rPr>
      </w:pPr>
      <w:r w:rsidRPr="00E901CC">
        <w:rPr>
          <w:bCs/>
          <w:color w:val="000000" w:themeColor="text1"/>
          <w:sz w:val="22"/>
          <w:szCs w:val="22"/>
        </w:rPr>
        <w:t>Assim, conclui-se que não há interdependência técnica ou jurídica que inviabilize a execução isolada deste objeto, atendendo-se, portanto, às disposições legais e regulamentares.</w:t>
      </w:r>
    </w:p>
    <w:p w:rsidR="00E901CC" w:rsidRDefault="00E901CC" w:rsidP="00E901CC">
      <w:pPr>
        <w:ind w:right="-2"/>
        <w:jc w:val="both"/>
        <w:rPr>
          <w:b/>
          <w:bCs/>
          <w:sz w:val="22"/>
          <w:szCs w:val="22"/>
        </w:rPr>
      </w:pPr>
    </w:p>
    <w:p w:rsidR="00D677D8" w:rsidRDefault="005964FB">
      <w:pPr>
        <w:pStyle w:val="PargrafodaLista"/>
        <w:shd w:val="clear" w:color="auto" w:fill="8DB3E2" w:themeFill="text2" w:themeFillTint="66"/>
        <w:ind w:left="0" w:right="-2"/>
        <w:rPr>
          <w:sz w:val="22"/>
          <w:szCs w:val="22"/>
        </w:rPr>
      </w:pPr>
      <w:r>
        <w:rPr>
          <w:b/>
          <w:bCs/>
          <w:sz w:val="22"/>
          <w:szCs w:val="22"/>
          <w:shd w:val="clear" w:color="auto" w:fill="B4C7DC"/>
        </w:rPr>
        <w:t>4- Resultados pretendidos (art. 15, §1º, IX do Decreto nº 3.537/2023):</w:t>
      </w:r>
    </w:p>
    <w:p w:rsidR="00E901CC" w:rsidRPr="00E901CC" w:rsidRDefault="005964FB" w:rsidP="00E901CC">
      <w:pPr>
        <w:pStyle w:val="PargrafodaLista"/>
        <w:ind w:left="0" w:right="-2"/>
        <w:jc w:val="both"/>
        <w:rPr>
          <w:sz w:val="22"/>
          <w:szCs w:val="22"/>
        </w:rPr>
      </w:pPr>
      <w:r>
        <w:rPr>
          <w:sz w:val="22"/>
          <w:szCs w:val="22"/>
        </w:rPr>
        <w:t xml:space="preserve">A presente contratação tem como resultado esperado a aquisição de 01 (uma) Pá carregadeira nova, zero </w:t>
      </w:r>
      <w:r w:rsidR="00E901CC" w:rsidRPr="00E901CC">
        <w:rPr>
          <w:sz w:val="22"/>
          <w:szCs w:val="22"/>
        </w:rPr>
        <w:t>A aquisição da pá carregadeira nova, zero hora, tem como resultado esperado o fortalecimento da capac</w:t>
      </w:r>
      <w:r w:rsidR="00E901CC" w:rsidRPr="00E901CC">
        <w:rPr>
          <w:sz w:val="22"/>
          <w:szCs w:val="22"/>
        </w:rPr>
        <w:t>i</w:t>
      </w:r>
      <w:r w:rsidR="00E901CC" w:rsidRPr="00E901CC">
        <w:rPr>
          <w:sz w:val="22"/>
          <w:szCs w:val="22"/>
        </w:rPr>
        <w:t>dade operacional da Secretaria Municipal de Agricultura e Obras, permitindo o adequado atendimento das demandas de manutenção e recuperação de estradas rurais, serviços de terraplenagem, apoio a pequenos produtores e demais atividades de interesse público.</w:t>
      </w:r>
    </w:p>
    <w:p w:rsidR="00E901CC" w:rsidRPr="00E901CC" w:rsidRDefault="00E901CC" w:rsidP="00E901CC">
      <w:pPr>
        <w:pStyle w:val="PargrafodaLista"/>
        <w:ind w:left="0" w:right="-2"/>
        <w:jc w:val="both"/>
        <w:rPr>
          <w:sz w:val="22"/>
          <w:szCs w:val="22"/>
        </w:rPr>
      </w:pPr>
    </w:p>
    <w:p w:rsidR="00E901CC" w:rsidRPr="00E901CC" w:rsidRDefault="00E901CC" w:rsidP="00E901CC">
      <w:pPr>
        <w:pStyle w:val="PargrafodaLista"/>
        <w:ind w:left="0" w:right="-2"/>
        <w:jc w:val="both"/>
        <w:rPr>
          <w:sz w:val="22"/>
          <w:szCs w:val="22"/>
        </w:rPr>
      </w:pPr>
      <w:r w:rsidRPr="00E901CC">
        <w:rPr>
          <w:sz w:val="22"/>
          <w:szCs w:val="22"/>
        </w:rPr>
        <w:t>Especificamente, pretende-se alcançar os seguintes resultados:</w:t>
      </w:r>
    </w:p>
    <w:p w:rsidR="00E901CC" w:rsidRPr="00E901CC" w:rsidRDefault="00E901CC" w:rsidP="00E901CC">
      <w:pPr>
        <w:pStyle w:val="PargrafodaLista"/>
        <w:ind w:left="0" w:right="-2"/>
        <w:jc w:val="both"/>
        <w:rPr>
          <w:sz w:val="22"/>
          <w:szCs w:val="22"/>
        </w:rPr>
      </w:pPr>
    </w:p>
    <w:p w:rsidR="00E901CC" w:rsidRPr="00E901CC" w:rsidRDefault="00E901CC" w:rsidP="00E901CC">
      <w:pPr>
        <w:pStyle w:val="PargrafodaLista"/>
        <w:ind w:left="0" w:right="-2"/>
        <w:jc w:val="both"/>
        <w:rPr>
          <w:sz w:val="22"/>
          <w:szCs w:val="22"/>
        </w:rPr>
      </w:pPr>
      <w:r w:rsidRPr="00E901CC">
        <w:rPr>
          <w:sz w:val="22"/>
          <w:szCs w:val="22"/>
        </w:rPr>
        <w:t>a) Aprimoramento da infraestrutura rural, por meio da melhoria das estradas vicinais, garantindo maior segurança e escoamento da produção agrícola local;</w:t>
      </w:r>
    </w:p>
    <w:p w:rsidR="00E901CC" w:rsidRPr="00E901CC" w:rsidRDefault="00E901CC" w:rsidP="00E901CC">
      <w:pPr>
        <w:pStyle w:val="PargrafodaLista"/>
        <w:ind w:left="0" w:right="-2"/>
        <w:jc w:val="both"/>
        <w:rPr>
          <w:sz w:val="22"/>
          <w:szCs w:val="22"/>
        </w:rPr>
      </w:pPr>
    </w:p>
    <w:p w:rsidR="00E901CC" w:rsidRPr="00E901CC" w:rsidRDefault="00E901CC" w:rsidP="00E901CC">
      <w:pPr>
        <w:pStyle w:val="PargrafodaLista"/>
        <w:ind w:left="0" w:right="-2"/>
        <w:jc w:val="both"/>
        <w:rPr>
          <w:sz w:val="22"/>
          <w:szCs w:val="22"/>
        </w:rPr>
      </w:pPr>
      <w:r w:rsidRPr="00E901CC">
        <w:rPr>
          <w:sz w:val="22"/>
          <w:szCs w:val="22"/>
        </w:rPr>
        <w:t>b) Aumento da eficiência na execução de serviços públicos essenciais, reduzindo a dependência de m</w:t>
      </w:r>
      <w:r w:rsidRPr="00E901CC">
        <w:rPr>
          <w:sz w:val="22"/>
          <w:szCs w:val="22"/>
        </w:rPr>
        <w:t>a</w:t>
      </w:r>
      <w:r w:rsidRPr="00E901CC">
        <w:rPr>
          <w:sz w:val="22"/>
          <w:szCs w:val="22"/>
        </w:rPr>
        <w:t>quinário terceirizado e proporcionando economia de recursos públicos;</w:t>
      </w:r>
    </w:p>
    <w:p w:rsidR="00E901CC" w:rsidRPr="00E901CC" w:rsidRDefault="00E901CC" w:rsidP="00E901CC">
      <w:pPr>
        <w:pStyle w:val="PargrafodaLista"/>
        <w:ind w:left="0" w:right="-2"/>
        <w:jc w:val="both"/>
        <w:rPr>
          <w:sz w:val="22"/>
          <w:szCs w:val="22"/>
        </w:rPr>
      </w:pPr>
    </w:p>
    <w:p w:rsidR="00E901CC" w:rsidRPr="00E901CC" w:rsidRDefault="00E901CC" w:rsidP="00E901CC">
      <w:pPr>
        <w:pStyle w:val="PargrafodaLista"/>
        <w:ind w:left="0" w:right="-2"/>
        <w:jc w:val="both"/>
        <w:rPr>
          <w:sz w:val="22"/>
          <w:szCs w:val="22"/>
        </w:rPr>
      </w:pPr>
      <w:r w:rsidRPr="00E901CC">
        <w:rPr>
          <w:sz w:val="22"/>
          <w:szCs w:val="22"/>
        </w:rPr>
        <w:t>c) Disponibilização de equipamento moderno e seguro, em conformidade com as normas técnicas e amb</w:t>
      </w:r>
      <w:r w:rsidRPr="00E901CC">
        <w:rPr>
          <w:sz w:val="22"/>
          <w:szCs w:val="22"/>
        </w:rPr>
        <w:t>i</w:t>
      </w:r>
      <w:r w:rsidRPr="00E901CC">
        <w:rPr>
          <w:sz w:val="22"/>
          <w:szCs w:val="22"/>
        </w:rPr>
        <w:t>entais, assegurando maior durabilidade e redução de custos de manutenção corretiva;</w:t>
      </w:r>
    </w:p>
    <w:p w:rsidR="00E901CC" w:rsidRPr="00E901CC" w:rsidRDefault="00E901CC" w:rsidP="00E901CC">
      <w:pPr>
        <w:pStyle w:val="PargrafodaLista"/>
        <w:ind w:left="0" w:right="-2"/>
        <w:jc w:val="both"/>
        <w:rPr>
          <w:sz w:val="22"/>
          <w:szCs w:val="22"/>
        </w:rPr>
      </w:pPr>
    </w:p>
    <w:p w:rsidR="00E901CC" w:rsidRPr="00E901CC" w:rsidRDefault="00E901CC" w:rsidP="00E901CC">
      <w:pPr>
        <w:pStyle w:val="PargrafodaLista"/>
        <w:ind w:left="0" w:right="-2"/>
        <w:jc w:val="both"/>
        <w:rPr>
          <w:sz w:val="22"/>
          <w:szCs w:val="22"/>
        </w:rPr>
      </w:pPr>
      <w:r w:rsidRPr="00E901CC">
        <w:rPr>
          <w:sz w:val="22"/>
          <w:szCs w:val="22"/>
        </w:rPr>
        <w:t>d) Atendimento às metas do Convênio nº 160/2025 da SEAB, cujo objeto prevê investimentos em maqu</w:t>
      </w:r>
      <w:r w:rsidRPr="00E901CC">
        <w:rPr>
          <w:sz w:val="22"/>
          <w:szCs w:val="22"/>
        </w:rPr>
        <w:t>i</w:t>
      </w:r>
      <w:r w:rsidRPr="00E901CC">
        <w:rPr>
          <w:sz w:val="22"/>
          <w:szCs w:val="22"/>
        </w:rPr>
        <w:t>nário para fomento e fortalecimento da agricultura familiar e do desenvolvimento municipal;</w:t>
      </w:r>
    </w:p>
    <w:p w:rsidR="00E901CC" w:rsidRPr="00E901CC" w:rsidRDefault="00E901CC" w:rsidP="00E901CC">
      <w:pPr>
        <w:pStyle w:val="PargrafodaLista"/>
        <w:ind w:left="0" w:right="-2"/>
        <w:jc w:val="both"/>
        <w:rPr>
          <w:sz w:val="22"/>
          <w:szCs w:val="22"/>
        </w:rPr>
      </w:pPr>
    </w:p>
    <w:p w:rsidR="00E901CC" w:rsidRPr="00E901CC" w:rsidRDefault="00E901CC" w:rsidP="00E901CC">
      <w:pPr>
        <w:pStyle w:val="PargrafodaLista"/>
        <w:ind w:left="0" w:right="-2"/>
        <w:jc w:val="both"/>
        <w:rPr>
          <w:sz w:val="22"/>
          <w:szCs w:val="22"/>
        </w:rPr>
      </w:pPr>
      <w:r w:rsidRPr="00E901CC">
        <w:rPr>
          <w:sz w:val="22"/>
          <w:szCs w:val="22"/>
        </w:rPr>
        <w:t>e) Garantia de maior agilidade e qualidade nos serviços prestados à população, ampliando a capacidade de resposta do Município às demandas emergenciais e rotineiras.</w:t>
      </w:r>
    </w:p>
    <w:p w:rsidR="00E901CC" w:rsidRPr="00E901CC" w:rsidRDefault="00E901CC" w:rsidP="00E901CC">
      <w:pPr>
        <w:pStyle w:val="PargrafodaLista"/>
        <w:ind w:left="0" w:right="-2"/>
        <w:jc w:val="both"/>
        <w:rPr>
          <w:sz w:val="22"/>
          <w:szCs w:val="22"/>
        </w:rPr>
      </w:pPr>
    </w:p>
    <w:p w:rsidR="00D677D8" w:rsidRDefault="00E901CC" w:rsidP="00E901CC">
      <w:pPr>
        <w:pStyle w:val="PargrafodaLista"/>
        <w:ind w:left="0" w:right="-2"/>
        <w:jc w:val="both"/>
        <w:rPr>
          <w:sz w:val="22"/>
          <w:szCs w:val="22"/>
        </w:rPr>
      </w:pPr>
      <w:r w:rsidRPr="00E901CC">
        <w:rPr>
          <w:sz w:val="22"/>
          <w:szCs w:val="22"/>
        </w:rPr>
        <w:t>Dessa forma, a contratação contribuirá diretamente para a elevação da eficiência administrativa, a econ</w:t>
      </w:r>
      <w:r w:rsidRPr="00E901CC">
        <w:rPr>
          <w:sz w:val="22"/>
          <w:szCs w:val="22"/>
        </w:rPr>
        <w:t>o</w:t>
      </w:r>
      <w:r w:rsidRPr="00E901CC">
        <w:rPr>
          <w:sz w:val="22"/>
          <w:szCs w:val="22"/>
        </w:rPr>
        <w:t>micidade na gestão dos recursos públicos e a melhoria da qualidade de vida da população local.</w:t>
      </w:r>
    </w:p>
    <w:p w:rsidR="00E901CC" w:rsidRDefault="00E901CC" w:rsidP="00E901CC">
      <w:pPr>
        <w:pStyle w:val="PargrafodaLista"/>
        <w:ind w:left="0" w:right="-2"/>
        <w:jc w:val="both"/>
        <w:rPr>
          <w:sz w:val="22"/>
          <w:szCs w:val="22"/>
        </w:rPr>
      </w:pPr>
    </w:p>
    <w:p w:rsidR="00D677D8" w:rsidRDefault="005964FB">
      <w:pPr>
        <w:pStyle w:val="CabealhoeRodap"/>
        <w:shd w:val="clear" w:color="auto" w:fill="8DB3E2" w:themeFill="text2" w:themeFillTint="66"/>
        <w:ind w:right="-2"/>
        <w:jc w:val="both"/>
        <w:rPr>
          <w:sz w:val="22"/>
          <w:szCs w:val="22"/>
        </w:rPr>
      </w:pPr>
      <w:r>
        <w:rPr>
          <w:sz w:val="22"/>
          <w:szCs w:val="22"/>
          <w:shd w:val="clear" w:color="auto" w:fill="B4C7DC"/>
        </w:rPr>
        <w:t xml:space="preserve">5- </w:t>
      </w:r>
      <w:r>
        <w:rPr>
          <w:b/>
          <w:bCs/>
          <w:sz w:val="22"/>
          <w:szCs w:val="22"/>
          <w:shd w:val="clear" w:color="auto" w:fill="B4C7DC"/>
        </w:rPr>
        <w:t>Providências a serem adotadas (art. 15, §1º, X do Decreto nº 3.537/2023):</w:t>
      </w:r>
    </w:p>
    <w:p w:rsidR="00D677D8" w:rsidRDefault="00D677D8">
      <w:pPr>
        <w:pStyle w:val="CabealhoeRodap"/>
        <w:ind w:left="720" w:right="-2"/>
        <w:jc w:val="both"/>
        <w:rPr>
          <w:sz w:val="22"/>
          <w:szCs w:val="22"/>
          <w:shd w:val="clear" w:color="auto" w:fill="B4C7DC"/>
        </w:rPr>
      </w:pPr>
    </w:p>
    <w:p w:rsidR="00E901CC" w:rsidRPr="00E901CC" w:rsidRDefault="00E901CC" w:rsidP="00E901CC">
      <w:pPr>
        <w:ind w:left="-1" w:right="-2"/>
        <w:jc w:val="both"/>
        <w:rPr>
          <w:bCs/>
          <w:sz w:val="22"/>
          <w:szCs w:val="22"/>
        </w:rPr>
      </w:pPr>
      <w:r w:rsidRPr="00E901CC">
        <w:rPr>
          <w:bCs/>
          <w:sz w:val="22"/>
          <w:szCs w:val="22"/>
        </w:rPr>
        <w:t>Para assegurar a regularidade, transparência e eficiência da contratação da pá carregadeira nova, zero hora, serão observadas as seguintes providências:</w:t>
      </w:r>
    </w:p>
    <w:p w:rsidR="00E901CC" w:rsidRPr="00E901CC" w:rsidRDefault="00E901CC" w:rsidP="00E901CC">
      <w:pPr>
        <w:ind w:left="-1" w:right="-2"/>
        <w:jc w:val="both"/>
        <w:rPr>
          <w:bCs/>
          <w:sz w:val="22"/>
          <w:szCs w:val="22"/>
        </w:rPr>
      </w:pPr>
    </w:p>
    <w:p w:rsidR="00E901CC" w:rsidRPr="00E901CC" w:rsidRDefault="00E901CC" w:rsidP="00E901CC">
      <w:pPr>
        <w:ind w:left="-1" w:right="-2"/>
        <w:jc w:val="both"/>
        <w:rPr>
          <w:bCs/>
          <w:sz w:val="22"/>
          <w:szCs w:val="22"/>
        </w:rPr>
      </w:pPr>
      <w:r w:rsidRPr="00E901CC">
        <w:rPr>
          <w:bCs/>
          <w:sz w:val="22"/>
          <w:szCs w:val="22"/>
        </w:rPr>
        <w:t>a) Aprovação do Estudo Técnico Preliminar (ETP) e sua juntada ao processo administrativo, como peça de fundamentação da contratação;</w:t>
      </w:r>
    </w:p>
    <w:p w:rsidR="00E901CC" w:rsidRPr="00E901CC" w:rsidRDefault="00E901CC" w:rsidP="00E901CC">
      <w:pPr>
        <w:ind w:left="-1" w:right="-2"/>
        <w:jc w:val="both"/>
        <w:rPr>
          <w:bCs/>
          <w:sz w:val="22"/>
          <w:szCs w:val="22"/>
        </w:rPr>
      </w:pPr>
    </w:p>
    <w:p w:rsidR="00E901CC" w:rsidRPr="00E901CC" w:rsidRDefault="00E901CC" w:rsidP="00E901CC">
      <w:pPr>
        <w:ind w:left="-1" w:right="-2"/>
        <w:jc w:val="both"/>
        <w:rPr>
          <w:bCs/>
          <w:sz w:val="22"/>
          <w:szCs w:val="22"/>
        </w:rPr>
      </w:pPr>
      <w:r w:rsidRPr="00E901CC">
        <w:rPr>
          <w:bCs/>
          <w:sz w:val="22"/>
          <w:szCs w:val="22"/>
        </w:rPr>
        <w:t>b) Elaboração do Termo de Referência/Projeto Básico, contemplando a descrição detalhada do objeto, requisitos técnicos mínimos, condições de entrega, garantias e assistência técnica;</w:t>
      </w:r>
    </w:p>
    <w:p w:rsidR="00E901CC" w:rsidRPr="00E901CC" w:rsidRDefault="00E901CC" w:rsidP="00E901CC">
      <w:pPr>
        <w:ind w:left="-1" w:right="-2"/>
        <w:jc w:val="both"/>
        <w:rPr>
          <w:bCs/>
          <w:sz w:val="22"/>
          <w:szCs w:val="22"/>
        </w:rPr>
      </w:pPr>
    </w:p>
    <w:p w:rsidR="00E901CC" w:rsidRPr="00E901CC" w:rsidRDefault="00E901CC" w:rsidP="00E901CC">
      <w:pPr>
        <w:ind w:left="-1" w:right="-2"/>
        <w:jc w:val="both"/>
        <w:rPr>
          <w:bCs/>
          <w:sz w:val="22"/>
          <w:szCs w:val="22"/>
        </w:rPr>
      </w:pPr>
      <w:r w:rsidRPr="00E901CC">
        <w:rPr>
          <w:bCs/>
          <w:sz w:val="22"/>
          <w:szCs w:val="22"/>
        </w:rPr>
        <w:t>c) Realização da pesquisa de preços, em conformidade com o art. 23 da Lei nº 14.133/2021, por meio de cotações junto a fornecedores, consultas ao Painel de Preços, PNCP e demais meios oficiais, de modo a definir o valor estimado da contratação;</w:t>
      </w:r>
    </w:p>
    <w:p w:rsidR="00E901CC" w:rsidRPr="00E901CC" w:rsidRDefault="00E901CC" w:rsidP="00E901CC">
      <w:pPr>
        <w:ind w:left="-1" w:right="-2"/>
        <w:jc w:val="both"/>
        <w:rPr>
          <w:bCs/>
          <w:sz w:val="22"/>
          <w:szCs w:val="22"/>
        </w:rPr>
      </w:pPr>
    </w:p>
    <w:p w:rsidR="00E901CC" w:rsidRPr="00E901CC" w:rsidRDefault="00E901CC" w:rsidP="00E901CC">
      <w:pPr>
        <w:ind w:left="-1" w:right="-2"/>
        <w:jc w:val="both"/>
        <w:rPr>
          <w:bCs/>
          <w:sz w:val="22"/>
          <w:szCs w:val="22"/>
        </w:rPr>
      </w:pPr>
      <w:r w:rsidRPr="00E901CC">
        <w:rPr>
          <w:bCs/>
          <w:sz w:val="22"/>
          <w:szCs w:val="22"/>
        </w:rPr>
        <w:t>d) Definição da modalidade licitatória adequada (Pregão Eletrônico), em observância ao art. 28, II, da Lei nº 14.133/2021 e ao Decreto Municipal nº 3.537/2023, visando assegurar ampla competitividade e ec</w:t>
      </w:r>
      <w:r w:rsidRPr="00E901CC">
        <w:rPr>
          <w:bCs/>
          <w:sz w:val="22"/>
          <w:szCs w:val="22"/>
        </w:rPr>
        <w:t>o</w:t>
      </w:r>
      <w:r w:rsidRPr="00E901CC">
        <w:rPr>
          <w:bCs/>
          <w:sz w:val="22"/>
          <w:szCs w:val="22"/>
        </w:rPr>
        <w:t>nomicidade;</w:t>
      </w:r>
    </w:p>
    <w:p w:rsidR="00E901CC" w:rsidRPr="00E901CC" w:rsidRDefault="00E901CC" w:rsidP="00E901CC">
      <w:pPr>
        <w:ind w:left="-1" w:right="-2"/>
        <w:jc w:val="both"/>
        <w:rPr>
          <w:bCs/>
          <w:sz w:val="22"/>
          <w:szCs w:val="22"/>
        </w:rPr>
      </w:pPr>
    </w:p>
    <w:p w:rsidR="00E901CC" w:rsidRPr="00E901CC" w:rsidRDefault="00E901CC" w:rsidP="00E901CC">
      <w:pPr>
        <w:ind w:left="-1" w:right="-2"/>
        <w:jc w:val="both"/>
        <w:rPr>
          <w:bCs/>
          <w:sz w:val="22"/>
          <w:szCs w:val="22"/>
        </w:rPr>
      </w:pPr>
      <w:r w:rsidRPr="00E901CC">
        <w:rPr>
          <w:bCs/>
          <w:sz w:val="22"/>
          <w:szCs w:val="22"/>
        </w:rPr>
        <w:lastRenderedPageBreak/>
        <w:t>e) Publicação do edital no Portal Nacional de Contratações Públicas (PNCP) e nos meios oficiais de d</w:t>
      </w:r>
      <w:r w:rsidRPr="00E901CC">
        <w:rPr>
          <w:bCs/>
          <w:sz w:val="22"/>
          <w:szCs w:val="22"/>
        </w:rPr>
        <w:t>i</w:t>
      </w:r>
      <w:r w:rsidRPr="00E901CC">
        <w:rPr>
          <w:bCs/>
          <w:sz w:val="22"/>
          <w:szCs w:val="22"/>
        </w:rPr>
        <w:t>vulgação do Município, conforme legislação vigente;</w:t>
      </w:r>
    </w:p>
    <w:p w:rsidR="00E901CC" w:rsidRPr="00E901CC" w:rsidRDefault="00E901CC" w:rsidP="00E901CC">
      <w:pPr>
        <w:ind w:left="-1" w:right="-2"/>
        <w:jc w:val="both"/>
        <w:rPr>
          <w:bCs/>
          <w:sz w:val="22"/>
          <w:szCs w:val="22"/>
        </w:rPr>
      </w:pPr>
    </w:p>
    <w:p w:rsidR="00E901CC" w:rsidRPr="00E901CC" w:rsidRDefault="00E901CC" w:rsidP="00E901CC">
      <w:pPr>
        <w:ind w:left="-1" w:right="-2"/>
        <w:jc w:val="both"/>
        <w:rPr>
          <w:bCs/>
          <w:sz w:val="22"/>
          <w:szCs w:val="22"/>
        </w:rPr>
      </w:pPr>
      <w:r w:rsidRPr="00E901CC">
        <w:rPr>
          <w:bCs/>
          <w:sz w:val="22"/>
          <w:szCs w:val="22"/>
        </w:rPr>
        <w:t>f) Realização da sessão pública eletrônica, com análise das propostas, julgamento objetivo segundo os critérios definidos no edital e adjudicação do objeto à licitante vencedora;</w:t>
      </w:r>
    </w:p>
    <w:p w:rsidR="00E901CC" w:rsidRPr="00E901CC" w:rsidRDefault="00E901CC" w:rsidP="00E901CC">
      <w:pPr>
        <w:ind w:left="-1" w:right="-2"/>
        <w:jc w:val="both"/>
        <w:rPr>
          <w:bCs/>
          <w:sz w:val="22"/>
          <w:szCs w:val="22"/>
        </w:rPr>
      </w:pPr>
    </w:p>
    <w:p w:rsidR="00E901CC" w:rsidRPr="00E901CC" w:rsidRDefault="00E901CC" w:rsidP="00E901CC">
      <w:pPr>
        <w:ind w:left="-1" w:right="-2"/>
        <w:jc w:val="both"/>
        <w:rPr>
          <w:bCs/>
          <w:sz w:val="22"/>
          <w:szCs w:val="22"/>
        </w:rPr>
      </w:pPr>
      <w:r w:rsidRPr="00E901CC">
        <w:rPr>
          <w:bCs/>
          <w:sz w:val="22"/>
          <w:szCs w:val="22"/>
        </w:rPr>
        <w:t>g) Homologação do certame e assinatura do contrato administrativo, atendendo às exigências legais de garantias, prazos e demais obrigações;</w:t>
      </w:r>
    </w:p>
    <w:p w:rsidR="00E901CC" w:rsidRPr="00E901CC" w:rsidRDefault="00E901CC" w:rsidP="00E901CC">
      <w:pPr>
        <w:ind w:left="-1" w:right="-2"/>
        <w:jc w:val="both"/>
        <w:rPr>
          <w:bCs/>
          <w:sz w:val="22"/>
          <w:szCs w:val="22"/>
        </w:rPr>
      </w:pPr>
    </w:p>
    <w:p w:rsidR="00E901CC" w:rsidRPr="00E901CC" w:rsidRDefault="00E901CC" w:rsidP="00E901CC">
      <w:pPr>
        <w:ind w:left="-1" w:right="-2"/>
        <w:jc w:val="both"/>
        <w:rPr>
          <w:bCs/>
          <w:sz w:val="22"/>
          <w:szCs w:val="22"/>
        </w:rPr>
      </w:pPr>
      <w:r w:rsidRPr="00E901CC">
        <w:rPr>
          <w:bCs/>
          <w:sz w:val="22"/>
          <w:szCs w:val="22"/>
        </w:rPr>
        <w:t>h) Designação de fiscal do contrato, responsável pelo acompanhamento da entrega do equipamento, co</w:t>
      </w:r>
      <w:r w:rsidRPr="00E901CC">
        <w:rPr>
          <w:bCs/>
          <w:sz w:val="22"/>
          <w:szCs w:val="22"/>
        </w:rPr>
        <w:t>n</w:t>
      </w:r>
      <w:r w:rsidRPr="00E901CC">
        <w:rPr>
          <w:bCs/>
          <w:sz w:val="22"/>
          <w:szCs w:val="22"/>
        </w:rPr>
        <w:t>ferência das especificações técnicas e execução da entrega técnica e do treinamento operacional;</w:t>
      </w:r>
    </w:p>
    <w:p w:rsidR="00E901CC" w:rsidRPr="00E901CC" w:rsidRDefault="00E901CC" w:rsidP="00E901CC">
      <w:pPr>
        <w:ind w:left="-1" w:right="-2"/>
        <w:jc w:val="both"/>
        <w:rPr>
          <w:bCs/>
          <w:sz w:val="22"/>
          <w:szCs w:val="22"/>
        </w:rPr>
      </w:pPr>
    </w:p>
    <w:p w:rsidR="00E901CC" w:rsidRPr="00E901CC" w:rsidRDefault="00E901CC" w:rsidP="00E901CC">
      <w:pPr>
        <w:ind w:left="-1" w:right="-2"/>
        <w:jc w:val="both"/>
        <w:rPr>
          <w:bCs/>
          <w:sz w:val="22"/>
          <w:szCs w:val="22"/>
        </w:rPr>
      </w:pPr>
      <w:r w:rsidRPr="00E901CC">
        <w:rPr>
          <w:bCs/>
          <w:sz w:val="22"/>
          <w:szCs w:val="22"/>
        </w:rPr>
        <w:t>i) Liquidação e pagamento da despesa, em parcela única, condicionada ao recebimento definitivo do bem e à apresentação da documentação fiscal regular;</w:t>
      </w:r>
    </w:p>
    <w:p w:rsidR="00E901CC" w:rsidRPr="00E901CC" w:rsidRDefault="00E901CC" w:rsidP="00E901CC">
      <w:pPr>
        <w:ind w:left="-1" w:right="-2"/>
        <w:jc w:val="both"/>
        <w:rPr>
          <w:bCs/>
          <w:sz w:val="22"/>
          <w:szCs w:val="22"/>
        </w:rPr>
      </w:pPr>
    </w:p>
    <w:p w:rsidR="00D677D8" w:rsidRDefault="00E901CC" w:rsidP="00E901CC">
      <w:pPr>
        <w:ind w:left="-1" w:right="-2"/>
        <w:jc w:val="both"/>
        <w:rPr>
          <w:bCs/>
          <w:color w:val="000000" w:themeColor="text1"/>
          <w:sz w:val="22"/>
          <w:szCs w:val="22"/>
        </w:rPr>
      </w:pPr>
      <w:r w:rsidRPr="00E901CC">
        <w:rPr>
          <w:bCs/>
          <w:sz w:val="22"/>
          <w:szCs w:val="22"/>
        </w:rPr>
        <w:t>j) Prestação de contas do Convênio nº 160/2025 – SEAB, demonstrando a correta aplicação dos recursos e o atingimento dos objetivos pactuados.</w:t>
      </w:r>
    </w:p>
    <w:p w:rsidR="00D677D8" w:rsidRDefault="005964FB">
      <w:pPr>
        <w:pStyle w:val="PargrafodaLista"/>
        <w:numPr>
          <w:ilvl w:val="0"/>
          <w:numId w:val="20"/>
        </w:numPr>
        <w:shd w:val="clear" w:color="auto" w:fill="8DB3E2" w:themeFill="text2" w:themeFillTint="66"/>
        <w:ind w:left="0" w:right="-2" w:hanging="2"/>
        <w:rPr>
          <w:shd w:val="clear" w:color="auto" w:fill="B4C7DC"/>
        </w:rPr>
      </w:pPr>
      <w:r>
        <w:rPr>
          <w:b/>
          <w:bCs/>
          <w:sz w:val="22"/>
          <w:szCs w:val="22"/>
          <w:shd w:val="clear" w:color="auto" w:fill="B4C7DC"/>
        </w:rPr>
        <w:t>Possíveis impactos ambientais (art. 15, §1º, XII do Decreto nº 3.537/2023):</w:t>
      </w:r>
    </w:p>
    <w:p w:rsidR="00D677D8" w:rsidRDefault="00D677D8">
      <w:pPr>
        <w:pStyle w:val="PargrafodaLista"/>
        <w:ind w:left="358" w:right="-2"/>
        <w:rPr>
          <w:shd w:val="clear" w:color="auto" w:fill="B4C7DC"/>
        </w:rPr>
      </w:pPr>
    </w:p>
    <w:p w:rsidR="00D677D8" w:rsidRDefault="005964FB">
      <w:pPr>
        <w:ind w:right="-2"/>
        <w:jc w:val="both"/>
        <w:rPr>
          <w:bCs/>
          <w:sz w:val="22"/>
          <w:szCs w:val="22"/>
        </w:rPr>
      </w:pPr>
      <w:r>
        <w:rPr>
          <w:bCs/>
          <w:sz w:val="22"/>
          <w:szCs w:val="22"/>
        </w:rPr>
        <w:t>A aquisição de 01 (uma) Pá niveladora nova/zero hora, última série, com motorização compatível às no</w:t>
      </w:r>
      <w:r>
        <w:rPr>
          <w:bCs/>
          <w:sz w:val="22"/>
          <w:szCs w:val="22"/>
        </w:rPr>
        <w:t>r</w:t>
      </w:r>
      <w:r>
        <w:rPr>
          <w:bCs/>
          <w:sz w:val="22"/>
          <w:szCs w:val="22"/>
        </w:rPr>
        <w:t>mas de controle de emissões veiculares estabelecidas na Resolução CONAMA nº 490/2018 (Proconve P8 – equivalente ao Euro VI), contribui para a redução da emissão de poluentes atmosféricos em relação a equipamentos mais antigos atualmente utilizados na frota municipal.</w:t>
      </w:r>
    </w:p>
    <w:p w:rsidR="00D677D8" w:rsidRDefault="00D677D8">
      <w:pPr>
        <w:ind w:right="-2"/>
        <w:jc w:val="both"/>
        <w:rPr>
          <w:bCs/>
          <w:sz w:val="22"/>
          <w:szCs w:val="22"/>
        </w:rPr>
      </w:pPr>
    </w:p>
    <w:p w:rsidR="00D677D8" w:rsidRDefault="005964FB">
      <w:pPr>
        <w:numPr>
          <w:ilvl w:val="0"/>
          <w:numId w:val="21"/>
        </w:numPr>
        <w:ind w:right="-2"/>
        <w:jc w:val="both"/>
        <w:rPr>
          <w:bCs/>
          <w:sz w:val="22"/>
          <w:szCs w:val="22"/>
        </w:rPr>
      </w:pPr>
      <w:r>
        <w:rPr>
          <w:bCs/>
          <w:sz w:val="22"/>
          <w:szCs w:val="22"/>
        </w:rPr>
        <w:t xml:space="preserve">Motor com controle de emissões: Exigência de motor diesel que atenda aos controles de poluentes CONAMA, PROCONVE, MAR I, reduzindo a emissão de gases poluentes. </w:t>
      </w:r>
    </w:p>
    <w:p w:rsidR="00D677D8" w:rsidRDefault="005964FB">
      <w:pPr>
        <w:numPr>
          <w:ilvl w:val="0"/>
          <w:numId w:val="21"/>
        </w:numPr>
        <w:ind w:right="-2"/>
        <w:jc w:val="both"/>
        <w:rPr>
          <w:bCs/>
          <w:sz w:val="22"/>
          <w:szCs w:val="22"/>
        </w:rPr>
      </w:pPr>
      <w:r>
        <w:rPr>
          <w:bCs/>
          <w:sz w:val="22"/>
          <w:szCs w:val="22"/>
        </w:rPr>
        <w:t xml:space="preserve">Eficiência energética: Especificações técnicas que privilegiam equipamentos com maior eficiência no consumo de combustível. </w:t>
      </w:r>
    </w:p>
    <w:p w:rsidR="00D677D8" w:rsidRDefault="005964FB">
      <w:pPr>
        <w:numPr>
          <w:ilvl w:val="0"/>
          <w:numId w:val="21"/>
        </w:numPr>
        <w:ind w:right="-2"/>
        <w:jc w:val="both"/>
        <w:rPr>
          <w:bCs/>
          <w:sz w:val="22"/>
          <w:szCs w:val="22"/>
        </w:rPr>
      </w:pPr>
      <w:r>
        <w:rPr>
          <w:bCs/>
          <w:sz w:val="22"/>
          <w:szCs w:val="22"/>
        </w:rPr>
        <w:t>Durabilidade e vida útil: Aquisição de equipamento novo com garantia de qualidade e vida útil estim</w:t>
      </w:r>
      <w:r>
        <w:rPr>
          <w:bCs/>
          <w:sz w:val="22"/>
          <w:szCs w:val="22"/>
        </w:rPr>
        <w:t>a</w:t>
      </w:r>
      <w:r>
        <w:rPr>
          <w:bCs/>
          <w:sz w:val="22"/>
          <w:szCs w:val="22"/>
        </w:rPr>
        <w:t xml:space="preserve">da superior a 10 anos, reduzindo a necessidade de substituição precoce. </w:t>
      </w:r>
    </w:p>
    <w:p w:rsidR="00D677D8" w:rsidRDefault="005964FB">
      <w:pPr>
        <w:numPr>
          <w:ilvl w:val="0"/>
          <w:numId w:val="21"/>
        </w:numPr>
        <w:ind w:right="-2"/>
        <w:jc w:val="both"/>
        <w:rPr>
          <w:bCs/>
          <w:sz w:val="22"/>
          <w:szCs w:val="22"/>
        </w:rPr>
      </w:pPr>
      <w:r>
        <w:rPr>
          <w:bCs/>
          <w:sz w:val="22"/>
          <w:szCs w:val="22"/>
        </w:rPr>
        <w:t>Destinação adequada de resíduos: Compromisso da contratada com o descarte adequado de embal</w:t>
      </w:r>
      <w:r>
        <w:rPr>
          <w:bCs/>
          <w:sz w:val="22"/>
          <w:szCs w:val="22"/>
        </w:rPr>
        <w:t>a</w:t>
      </w:r>
      <w:r>
        <w:rPr>
          <w:bCs/>
          <w:sz w:val="22"/>
          <w:szCs w:val="22"/>
        </w:rPr>
        <w:t xml:space="preserve">gens e materiais utilizados na entrega e manutenção. </w:t>
      </w:r>
    </w:p>
    <w:p w:rsidR="00D677D8" w:rsidRDefault="005964FB">
      <w:pPr>
        <w:numPr>
          <w:ilvl w:val="0"/>
          <w:numId w:val="21"/>
        </w:numPr>
        <w:ind w:right="-2"/>
        <w:jc w:val="both"/>
        <w:rPr>
          <w:bCs/>
          <w:sz w:val="22"/>
          <w:szCs w:val="22"/>
        </w:rPr>
      </w:pPr>
      <w:r>
        <w:rPr>
          <w:bCs/>
          <w:sz w:val="22"/>
          <w:szCs w:val="22"/>
        </w:rPr>
        <w:t>Manutenção preventiva: Programa de manutenção preventiva que assegura o funcionamento eficiente do equipamento, reduzindo o consumo de combustível e a emissão de poluente.</w:t>
      </w:r>
    </w:p>
    <w:p w:rsidR="00D677D8" w:rsidRDefault="00D677D8">
      <w:pPr>
        <w:ind w:right="-2"/>
        <w:jc w:val="both"/>
        <w:rPr>
          <w:bCs/>
          <w:sz w:val="22"/>
          <w:szCs w:val="22"/>
        </w:rPr>
      </w:pPr>
    </w:p>
    <w:p w:rsidR="00D677D8" w:rsidRDefault="005964FB">
      <w:pPr>
        <w:ind w:right="-2"/>
        <w:jc w:val="both"/>
      </w:pPr>
      <w:r>
        <w:rPr>
          <w:bCs/>
          <w:sz w:val="22"/>
          <w:szCs w:val="22"/>
        </w:rPr>
        <w:t>Dessa forma, a contratação apresenta baixo potencial de impacto ambiental negativo e está alinhada aos objetivos de sustentabilidade previstos na Lei nº 14.133/2021 e no Decreto Municipal nº 3.537/2023</w:t>
      </w:r>
    </w:p>
    <w:p w:rsidR="00D677D8" w:rsidRDefault="005964FB">
      <w:pPr>
        <w:shd w:val="clear" w:color="auto" w:fill="365F91" w:themeFill="accent1" w:themeFillShade="BF"/>
        <w:tabs>
          <w:tab w:val="left" w:pos="284"/>
        </w:tabs>
        <w:spacing w:before="240" w:after="200" w:line="276" w:lineRule="auto"/>
        <w:ind w:right="-2" w:hanging="2"/>
        <w:jc w:val="both"/>
        <w:rPr>
          <w:color w:val="FFFFFF" w:themeColor="background1"/>
          <w:sz w:val="22"/>
          <w:szCs w:val="22"/>
        </w:rPr>
      </w:pPr>
      <w:r>
        <w:rPr>
          <w:b/>
          <w:bCs/>
          <w:color w:val="FFFFFF" w:themeColor="background1"/>
          <w:sz w:val="22"/>
          <w:szCs w:val="22"/>
        </w:rPr>
        <w:t>V – Posicionamento Conclusivo:</w:t>
      </w:r>
    </w:p>
    <w:p w:rsidR="00B9728B" w:rsidRPr="00B9728B" w:rsidRDefault="00B9728B" w:rsidP="00B9728B">
      <w:pPr>
        <w:ind w:right="-2" w:hanging="2"/>
        <w:jc w:val="both"/>
        <w:rPr>
          <w:sz w:val="22"/>
          <w:szCs w:val="22"/>
        </w:rPr>
      </w:pPr>
      <w:r w:rsidRPr="00B9728B">
        <w:rPr>
          <w:sz w:val="22"/>
          <w:szCs w:val="22"/>
        </w:rPr>
        <w:t>Diante do exposto, conclui-se pela necessidade, viabilidade e oportunidade da contratação de 01 (uma) pá carregadeira, nova, zero hora, última série de fabricação, em conformidade com os requisitos técnicos, legais e orçamentários estabelecidos neste Estudo Técnico Preliminar. A aquisição fundamenta-se no Convênio nº 160/2025 firmado com a Secretaria de Estado da Agricultura e do Abastecimento – SEAB, sendo indispensável para a execução de serviços públicos essenciais, especialmente no apoio à agricultura familiar, manutenção de estradas vicinais e obras de interesse coletivo.</w:t>
      </w:r>
    </w:p>
    <w:p w:rsidR="00B9728B" w:rsidRPr="00B9728B" w:rsidRDefault="00B9728B" w:rsidP="00B9728B">
      <w:pPr>
        <w:ind w:right="-2" w:hanging="2"/>
        <w:jc w:val="both"/>
        <w:rPr>
          <w:sz w:val="22"/>
          <w:szCs w:val="22"/>
        </w:rPr>
      </w:pPr>
    </w:p>
    <w:p w:rsidR="00B9728B" w:rsidRPr="00B9728B" w:rsidRDefault="00B9728B" w:rsidP="00B9728B">
      <w:pPr>
        <w:ind w:right="-2" w:hanging="2"/>
        <w:jc w:val="both"/>
        <w:rPr>
          <w:sz w:val="22"/>
          <w:szCs w:val="22"/>
        </w:rPr>
      </w:pPr>
      <w:r w:rsidRPr="00B9728B">
        <w:rPr>
          <w:sz w:val="22"/>
          <w:szCs w:val="22"/>
        </w:rPr>
        <w:t>A solução escolhida revela-se a mais adequada e vantajosa para a Administração, uma vez que assegura: (i) atendimento direto às demandas estratégicas do Município; (ii) compatibilidade com os recursos fina</w:t>
      </w:r>
      <w:r w:rsidRPr="00B9728B">
        <w:rPr>
          <w:sz w:val="22"/>
          <w:szCs w:val="22"/>
        </w:rPr>
        <w:t>n</w:t>
      </w:r>
      <w:r w:rsidRPr="00B9728B">
        <w:rPr>
          <w:sz w:val="22"/>
          <w:szCs w:val="22"/>
        </w:rPr>
        <w:t>ceiros disponíveis; (iii) economicidade comprovada pela pesquisa de preços realizada em conformidade com o art. 23 da Lei nº 14.133/2021; e (iv) ganhos operacionais significativos, com impacto positivo na qualidade dos serviços prestados à população.</w:t>
      </w:r>
    </w:p>
    <w:p w:rsidR="00B9728B" w:rsidRPr="00B9728B" w:rsidRDefault="00B9728B" w:rsidP="00B9728B">
      <w:pPr>
        <w:ind w:right="-2" w:hanging="2"/>
        <w:jc w:val="both"/>
        <w:rPr>
          <w:sz w:val="22"/>
          <w:szCs w:val="22"/>
        </w:rPr>
      </w:pPr>
    </w:p>
    <w:p w:rsidR="00B9728B" w:rsidRPr="00B9728B" w:rsidRDefault="00B9728B" w:rsidP="00B9728B">
      <w:pPr>
        <w:ind w:right="-2" w:hanging="2"/>
        <w:jc w:val="both"/>
        <w:rPr>
          <w:sz w:val="22"/>
          <w:szCs w:val="22"/>
        </w:rPr>
      </w:pPr>
      <w:r w:rsidRPr="00B9728B">
        <w:rPr>
          <w:sz w:val="22"/>
          <w:szCs w:val="22"/>
        </w:rPr>
        <w:lastRenderedPageBreak/>
        <w:t>O critério de julgamento a ser adotado será o de menor preço global, em conformidade com o art. 33, inciso I, da Lei nº 14.133/2021, assegurando objetividade e ampla competitividade no certame.</w:t>
      </w:r>
    </w:p>
    <w:p w:rsidR="00B9728B" w:rsidRPr="00B9728B" w:rsidRDefault="00B9728B" w:rsidP="00B9728B">
      <w:pPr>
        <w:ind w:right="-2" w:hanging="2"/>
        <w:jc w:val="both"/>
        <w:rPr>
          <w:sz w:val="22"/>
          <w:szCs w:val="22"/>
        </w:rPr>
      </w:pPr>
    </w:p>
    <w:p w:rsidR="00B9728B" w:rsidRPr="00B9728B" w:rsidRDefault="00B9728B" w:rsidP="00B9728B">
      <w:pPr>
        <w:ind w:right="-2" w:hanging="2"/>
        <w:jc w:val="both"/>
        <w:rPr>
          <w:sz w:val="22"/>
          <w:szCs w:val="22"/>
        </w:rPr>
      </w:pPr>
      <w:r w:rsidRPr="00B9728B">
        <w:rPr>
          <w:sz w:val="22"/>
          <w:szCs w:val="22"/>
        </w:rPr>
        <w:t>Para maior segurança, foram avaliados riscos potenciais da contratação, tais como atraso na entrega, f</w:t>
      </w:r>
      <w:r w:rsidRPr="00B9728B">
        <w:rPr>
          <w:sz w:val="22"/>
          <w:szCs w:val="22"/>
        </w:rPr>
        <w:t>a</w:t>
      </w:r>
      <w:r w:rsidRPr="00B9728B">
        <w:rPr>
          <w:sz w:val="22"/>
          <w:szCs w:val="22"/>
        </w:rPr>
        <w:t>lhas técnicas ou descumprimento de garantias. Tais riscos serão mitigados por meio de cláusulas contr</w:t>
      </w:r>
      <w:r w:rsidRPr="00B9728B">
        <w:rPr>
          <w:sz w:val="22"/>
          <w:szCs w:val="22"/>
        </w:rPr>
        <w:t>a</w:t>
      </w:r>
      <w:r w:rsidRPr="00B9728B">
        <w:rPr>
          <w:sz w:val="22"/>
          <w:szCs w:val="22"/>
        </w:rPr>
        <w:t>tuais específicas, aplicação de sanções administrativas previstas nos arts. 155 a 159 da Lei nº 14.133/2021 e pela exigência de garantia de execução contratual.</w:t>
      </w:r>
    </w:p>
    <w:p w:rsidR="00B9728B" w:rsidRPr="00B9728B" w:rsidRDefault="00B9728B" w:rsidP="00B9728B">
      <w:pPr>
        <w:ind w:right="-2" w:hanging="2"/>
        <w:jc w:val="both"/>
        <w:rPr>
          <w:sz w:val="22"/>
          <w:szCs w:val="22"/>
        </w:rPr>
      </w:pPr>
    </w:p>
    <w:p w:rsidR="00B9728B" w:rsidRPr="00B9728B" w:rsidRDefault="00B9728B" w:rsidP="00B9728B">
      <w:pPr>
        <w:ind w:right="-2" w:hanging="2"/>
        <w:jc w:val="both"/>
        <w:rPr>
          <w:sz w:val="22"/>
          <w:szCs w:val="22"/>
        </w:rPr>
      </w:pPr>
      <w:r w:rsidRPr="00B9728B">
        <w:rPr>
          <w:sz w:val="22"/>
          <w:szCs w:val="22"/>
        </w:rPr>
        <w:t>A presente aquisição encontra amparo na dotação orçamentária vinculada ao Convênio nº 160/2025 – SEAB, devidamente consignada na Lei Orçamentária Anual, o que garante a cobertura integral dos custos da contratação.</w:t>
      </w:r>
    </w:p>
    <w:p w:rsidR="00B9728B" w:rsidRPr="00B9728B" w:rsidRDefault="00B9728B" w:rsidP="00B9728B">
      <w:pPr>
        <w:ind w:right="-2" w:hanging="2"/>
        <w:jc w:val="both"/>
        <w:rPr>
          <w:sz w:val="22"/>
          <w:szCs w:val="22"/>
        </w:rPr>
      </w:pPr>
    </w:p>
    <w:p w:rsidR="00D677D8" w:rsidRDefault="00B9728B" w:rsidP="00B9728B">
      <w:pPr>
        <w:ind w:right="-2" w:hanging="2"/>
        <w:jc w:val="both"/>
        <w:rPr>
          <w:sz w:val="22"/>
          <w:szCs w:val="22"/>
        </w:rPr>
      </w:pPr>
      <w:r w:rsidRPr="00B9728B">
        <w:rPr>
          <w:sz w:val="22"/>
          <w:szCs w:val="22"/>
        </w:rPr>
        <w:t>Considerando que o objeto definido atende integralmente às necessidades identificadas, está de acordo com os princípios da eficiência, economicidade, transparência e legalidade, e contribui para o alcance dos objetivos pactuados no convênio, conclui-se pela plena justificativa da contratação. Recomenda-se, assim, a adoção das providências subsequentes, com a elaboração do Termo de Referência, a instauração do processo licitatório e a posterior formalização do contrato, garantindo o cumprimento das obrigações legais e a efetividade da política pública de desenvolvimento municipal.</w:t>
      </w:r>
    </w:p>
    <w:p w:rsidR="00D677D8" w:rsidRDefault="00D677D8">
      <w:pPr>
        <w:ind w:right="-2" w:hanging="2"/>
        <w:jc w:val="center"/>
        <w:rPr>
          <w:sz w:val="22"/>
          <w:szCs w:val="22"/>
        </w:rPr>
      </w:pPr>
    </w:p>
    <w:p w:rsidR="00D677D8" w:rsidRDefault="005964FB">
      <w:pPr>
        <w:ind w:right="-2" w:hanging="2"/>
        <w:jc w:val="center"/>
        <w:rPr>
          <w:sz w:val="22"/>
          <w:szCs w:val="22"/>
        </w:rPr>
      </w:pPr>
      <w:r>
        <w:rPr>
          <w:sz w:val="22"/>
          <w:szCs w:val="22"/>
        </w:rPr>
        <w:t xml:space="preserve">Bandeirantes (PR), </w:t>
      </w:r>
      <w:r w:rsidR="006975F1">
        <w:rPr>
          <w:sz w:val="22"/>
          <w:szCs w:val="22"/>
        </w:rPr>
        <w:t>05</w:t>
      </w:r>
      <w:r>
        <w:rPr>
          <w:sz w:val="22"/>
          <w:szCs w:val="22"/>
        </w:rPr>
        <w:t xml:space="preserve"> de </w:t>
      </w:r>
      <w:r w:rsidR="006975F1">
        <w:rPr>
          <w:sz w:val="22"/>
          <w:szCs w:val="22"/>
        </w:rPr>
        <w:t>setembro</w:t>
      </w:r>
      <w:r>
        <w:rPr>
          <w:sz w:val="22"/>
          <w:szCs w:val="22"/>
        </w:rPr>
        <w:t xml:space="preserve"> de 2025</w:t>
      </w:r>
    </w:p>
    <w:p w:rsidR="00D677D8" w:rsidRDefault="00D677D8">
      <w:pPr>
        <w:ind w:right="-2" w:hanging="2"/>
        <w:jc w:val="center"/>
        <w:rPr>
          <w:sz w:val="22"/>
          <w:szCs w:val="22"/>
        </w:rPr>
      </w:pPr>
    </w:p>
    <w:p w:rsidR="00D677D8" w:rsidRDefault="00D677D8">
      <w:pPr>
        <w:ind w:right="-2" w:hanging="2"/>
        <w:jc w:val="center"/>
        <w:rPr>
          <w:sz w:val="22"/>
          <w:szCs w:val="22"/>
        </w:rPr>
      </w:pPr>
    </w:p>
    <w:p w:rsidR="00D677D8" w:rsidRDefault="00D677D8">
      <w:pPr>
        <w:ind w:right="-2" w:hanging="2"/>
        <w:jc w:val="center"/>
        <w:rPr>
          <w:sz w:val="22"/>
          <w:szCs w:val="22"/>
        </w:rPr>
      </w:pPr>
    </w:p>
    <w:p w:rsidR="00D677D8" w:rsidRDefault="00D677D8">
      <w:pPr>
        <w:ind w:right="-2" w:hanging="2"/>
        <w:jc w:val="center"/>
        <w:rPr>
          <w:sz w:val="22"/>
          <w:szCs w:val="22"/>
        </w:rPr>
      </w:pPr>
    </w:p>
    <w:p w:rsidR="00D677D8" w:rsidRDefault="00D677D8">
      <w:pPr>
        <w:ind w:right="-2" w:hanging="2"/>
        <w:jc w:val="center"/>
        <w:rPr>
          <w:sz w:val="22"/>
          <w:szCs w:val="22"/>
        </w:rPr>
      </w:pPr>
    </w:p>
    <w:p w:rsidR="00D677D8" w:rsidRDefault="00D677D8">
      <w:pPr>
        <w:ind w:right="-2" w:hanging="2"/>
        <w:jc w:val="center"/>
        <w:rPr>
          <w:sz w:val="22"/>
          <w:szCs w:val="22"/>
        </w:rPr>
      </w:pPr>
    </w:p>
    <w:p w:rsidR="00D677D8" w:rsidRDefault="005964FB">
      <w:pPr>
        <w:spacing w:line="360" w:lineRule="auto"/>
        <w:ind w:right="-2" w:hanging="2"/>
        <w:jc w:val="center"/>
      </w:pPr>
      <w:r>
        <w:rPr>
          <w:rFonts w:eastAsia="Arial"/>
          <w:sz w:val="20"/>
          <w:szCs w:val="20"/>
        </w:rPr>
        <w:t>_________________________</w:t>
      </w:r>
    </w:p>
    <w:p w:rsidR="00D677D8" w:rsidRDefault="005964FB">
      <w:pPr>
        <w:ind w:right="-2"/>
        <w:jc w:val="center"/>
      </w:pPr>
      <w:r>
        <w:rPr>
          <w:rFonts w:eastAsia="Merriweather"/>
          <w:b/>
          <w:sz w:val="22"/>
          <w:szCs w:val="22"/>
        </w:rPr>
        <w:t>CAMILA DIAS RAMALHO MATTA</w:t>
      </w:r>
    </w:p>
    <w:p w:rsidR="00D677D8" w:rsidRDefault="005964FB">
      <w:pPr>
        <w:ind w:right="-2"/>
        <w:jc w:val="center"/>
        <w:rPr>
          <w:b/>
          <w:sz w:val="22"/>
          <w:szCs w:val="22"/>
        </w:rPr>
      </w:pPr>
      <w:r>
        <w:rPr>
          <w:b/>
          <w:sz w:val="22"/>
          <w:szCs w:val="22"/>
        </w:rPr>
        <w:t>Secretária de Agricultura e Pecuária</w:t>
      </w:r>
    </w:p>
    <w:p w:rsidR="00D677D8" w:rsidRDefault="00D677D8">
      <w:pPr>
        <w:ind w:right="-2"/>
        <w:jc w:val="center"/>
        <w:rPr>
          <w:b/>
          <w:sz w:val="22"/>
          <w:szCs w:val="22"/>
        </w:rPr>
      </w:pPr>
    </w:p>
    <w:p w:rsidR="00D677D8" w:rsidRDefault="00D677D8">
      <w:pPr>
        <w:ind w:right="-2"/>
        <w:jc w:val="center"/>
        <w:rPr>
          <w:b/>
          <w:sz w:val="22"/>
          <w:szCs w:val="22"/>
        </w:rPr>
      </w:pPr>
    </w:p>
    <w:p w:rsidR="00D677D8" w:rsidRDefault="00D677D8">
      <w:pPr>
        <w:ind w:right="-2"/>
        <w:jc w:val="center"/>
        <w:rPr>
          <w:b/>
          <w:sz w:val="22"/>
          <w:szCs w:val="22"/>
        </w:rPr>
      </w:pPr>
    </w:p>
    <w:p w:rsidR="00D677D8" w:rsidRDefault="005964FB">
      <w:pPr>
        <w:spacing w:line="360" w:lineRule="auto"/>
        <w:ind w:right="-2" w:hanging="2"/>
        <w:jc w:val="center"/>
      </w:pPr>
      <w:r>
        <w:rPr>
          <w:rFonts w:eastAsia="Arial"/>
          <w:sz w:val="20"/>
          <w:szCs w:val="20"/>
        </w:rPr>
        <w:t>__________________________________</w:t>
      </w:r>
    </w:p>
    <w:p w:rsidR="00D677D8" w:rsidRDefault="005964FB">
      <w:pPr>
        <w:ind w:right="-2"/>
        <w:jc w:val="center"/>
      </w:pPr>
      <w:r>
        <w:rPr>
          <w:rFonts w:eastAsia="Merriweather"/>
          <w:b/>
          <w:bCs/>
          <w:sz w:val="22"/>
          <w:szCs w:val="22"/>
        </w:rPr>
        <w:t>PATRÍCIA DE OLIVEIRA PEDROSO</w:t>
      </w:r>
    </w:p>
    <w:p w:rsidR="00D677D8" w:rsidRDefault="005964FB">
      <w:pPr>
        <w:ind w:right="-2"/>
        <w:jc w:val="center"/>
        <w:rPr>
          <w:b/>
          <w:sz w:val="22"/>
          <w:szCs w:val="22"/>
        </w:rPr>
      </w:pPr>
      <w:r>
        <w:rPr>
          <w:b/>
          <w:sz w:val="22"/>
          <w:szCs w:val="22"/>
        </w:rPr>
        <w:t>Secretária de Planejamento</w:t>
      </w:r>
    </w:p>
    <w:p w:rsidR="00D677D8" w:rsidRDefault="00D677D8">
      <w:pPr>
        <w:ind w:right="-2"/>
        <w:jc w:val="center"/>
        <w:rPr>
          <w:b/>
          <w:sz w:val="22"/>
          <w:szCs w:val="22"/>
        </w:rPr>
      </w:pPr>
    </w:p>
    <w:p w:rsidR="00D677D8" w:rsidRDefault="00D677D8">
      <w:pPr>
        <w:ind w:right="-2"/>
        <w:jc w:val="center"/>
        <w:rPr>
          <w:b/>
          <w:sz w:val="22"/>
          <w:szCs w:val="22"/>
        </w:rPr>
      </w:pPr>
    </w:p>
    <w:p w:rsidR="00D677D8" w:rsidRDefault="00D677D8">
      <w:pPr>
        <w:ind w:right="-2"/>
        <w:jc w:val="center"/>
        <w:rPr>
          <w:b/>
          <w:sz w:val="22"/>
          <w:szCs w:val="22"/>
        </w:rPr>
      </w:pPr>
    </w:p>
    <w:p w:rsidR="00D677D8" w:rsidRDefault="00D677D8">
      <w:pPr>
        <w:ind w:right="-2"/>
        <w:jc w:val="center"/>
        <w:rPr>
          <w:b/>
          <w:sz w:val="22"/>
          <w:szCs w:val="22"/>
        </w:rPr>
      </w:pPr>
    </w:p>
    <w:p w:rsidR="00D677D8" w:rsidRDefault="00D677D8">
      <w:pPr>
        <w:ind w:right="-2"/>
        <w:jc w:val="center"/>
        <w:rPr>
          <w:b/>
          <w:sz w:val="22"/>
          <w:szCs w:val="22"/>
        </w:rPr>
      </w:pPr>
    </w:p>
    <w:p w:rsidR="00D677D8" w:rsidRDefault="00D677D8">
      <w:pPr>
        <w:ind w:right="-2"/>
        <w:jc w:val="center"/>
        <w:rPr>
          <w:b/>
          <w:sz w:val="22"/>
          <w:szCs w:val="22"/>
        </w:rPr>
      </w:pPr>
    </w:p>
    <w:p w:rsidR="00D677D8" w:rsidRDefault="00D677D8">
      <w:pPr>
        <w:ind w:right="-2"/>
        <w:jc w:val="both"/>
        <w:rPr>
          <w:b/>
          <w:sz w:val="22"/>
          <w:szCs w:val="22"/>
        </w:rPr>
      </w:pPr>
    </w:p>
    <w:p w:rsidR="00D677D8" w:rsidRDefault="00D677D8">
      <w:pPr>
        <w:ind w:right="-2"/>
        <w:jc w:val="center"/>
        <w:rPr>
          <w:b/>
          <w:sz w:val="22"/>
          <w:szCs w:val="22"/>
        </w:rPr>
      </w:pPr>
    </w:p>
    <w:p w:rsidR="00D677D8" w:rsidRDefault="00D677D8">
      <w:pPr>
        <w:ind w:right="-2"/>
        <w:jc w:val="center"/>
        <w:rPr>
          <w:b/>
          <w:sz w:val="22"/>
          <w:szCs w:val="22"/>
        </w:rPr>
      </w:pPr>
    </w:p>
    <w:p w:rsidR="00D677D8" w:rsidRDefault="00D677D8">
      <w:pPr>
        <w:ind w:right="-2"/>
        <w:jc w:val="center"/>
        <w:rPr>
          <w:b/>
          <w:sz w:val="22"/>
          <w:szCs w:val="22"/>
        </w:rPr>
      </w:pPr>
    </w:p>
    <w:p w:rsidR="00D677D8" w:rsidRDefault="00D677D8">
      <w:pPr>
        <w:ind w:right="-2"/>
        <w:jc w:val="center"/>
        <w:rPr>
          <w:b/>
          <w:sz w:val="22"/>
          <w:szCs w:val="22"/>
        </w:rPr>
      </w:pPr>
    </w:p>
    <w:p w:rsidR="00D677D8" w:rsidRDefault="00D677D8">
      <w:pPr>
        <w:ind w:right="-2"/>
        <w:jc w:val="center"/>
        <w:rPr>
          <w:b/>
          <w:sz w:val="22"/>
          <w:szCs w:val="22"/>
        </w:rPr>
      </w:pPr>
    </w:p>
    <w:p w:rsidR="00D677D8" w:rsidRDefault="00D677D8">
      <w:pPr>
        <w:ind w:left="2880" w:right="-2" w:firstLine="720"/>
        <w:jc w:val="both"/>
        <w:rPr>
          <w:b/>
        </w:rPr>
      </w:pPr>
    </w:p>
    <w:p w:rsidR="00D677D8" w:rsidRDefault="00D677D8">
      <w:pPr>
        <w:ind w:left="2880" w:right="-2" w:firstLine="720"/>
        <w:jc w:val="both"/>
        <w:rPr>
          <w:b/>
        </w:rPr>
      </w:pPr>
    </w:p>
    <w:p w:rsidR="00D677D8" w:rsidRDefault="00D677D8">
      <w:pPr>
        <w:ind w:left="2880" w:right="-2" w:firstLine="720"/>
        <w:jc w:val="both"/>
        <w:rPr>
          <w:b/>
        </w:rPr>
      </w:pPr>
    </w:p>
    <w:p w:rsidR="00D677D8" w:rsidRDefault="00D677D8">
      <w:pPr>
        <w:ind w:left="2880" w:right="-2" w:firstLine="720"/>
        <w:jc w:val="both"/>
        <w:rPr>
          <w:b/>
        </w:rPr>
      </w:pPr>
    </w:p>
    <w:sectPr w:rsidR="00D677D8" w:rsidSect="00B74B88">
      <w:headerReference w:type="even" r:id="rId10"/>
      <w:headerReference w:type="default" r:id="rId11"/>
      <w:footerReference w:type="even" r:id="rId12"/>
      <w:footerReference w:type="default" r:id="rId13"/>
      <w:headerReference w:type="first" r:id="rId14"/>
      <w:footerReference w:type="first" r:id="rId15"/>
      <w:pgSz w:w="11906" w:h="16838"/>
      <w:pgMar w:top="2410" w:right="851" w:bottom="992" w:left="1701" w:header="720" w:footer="720" w:gutter="0"/>
      <w:pgNumType w:start="1"/>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55DD" w:rsidRDefault="002F55DD">
      <w:r>
        <w:separator/>
      </w:r>
    </w:p>
  </w:endnote>
  <w:endnote w:type="continuationSeparator" w:id="1">
    <w:p w:rsidR="002F55DD" w:rsidRDefault="002F55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Symbol">
    <w:altName w:val="Arial Unicode MS"/>
    <w:panose1 w:val="05010000000000000000"/>
    <w:charset w:val="00"/>
    <w:family w:val="auto"/>
    <w:pitch w:val="variable"/>
    <w:sig w:usb0="800000AF" w:usb1="1001ECEA" w:usb2="00000000" w:usb3="00000000" w:csb0="8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Nyala">
    <w:altName w:val="Times New Roman"/>
    <w:charset w:val="00"/>
    <w:family w:val="roman"/>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erriweather">
    <w:altName w:val="Times New Roman"/>
    <w:charset w:val="00"/>
    <w:family w:val="auto"/>
    <w:pitch w:val="variable"/>
    <w:sig w:usb0="20000207" w:usb1="00000002" w:usb2="00000000" w:usb3="00000000" w:csb0="00000197" w:csb1="00000000"/>
  </w:font>
  <w:font w:name="Algerian">
    <w:altName w:val="Gabriola"/>
    <w:panose1 w:val="04020705040A020607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31D" w:rsidRDefault="00A3331D">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31D" w:rsidRDefault="00A3331D">
    <w:pPr>
      <w:jc w:val="both"/>
      <w:rPr>
        <w:sz w:val="14"/>
        <w:szCs w:val="14"/>
      </w:rPr>
    </w:pPr>
    <w:r>
      <w:rPr>
        <w:sz w:val="14"/>
        <w:szCs w:val="14"/>
      </w:rPr>
      <w:t>Rua Frei Rafael Proner  nº 1457 – Caixa Postal 281 – CEP 86.360-000 –– Tel: (43) 3542-4525 – Fax 3542-3322  e CNPJ 76.235.753/0001-48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31D" w:rsidRDefault="00A3331D">
    <w:pPr>
      <w:jc w:val="both"/>
      <w:rPr>
        <w:sz w:val="14"/>
        <w:szCs w:val="14"/>
      </w:rPr>
    </w:pPr>
    <w:r>
      <w:rPr>
        <w:sz w:val="14"/>
        <w:szCs w:val="14"/>
      </w:rPr>
      <w:t>Rua Frei Rafael Proner  nº 1457 – Caixa Postal 281 – CEP 86.360-000 –– Tel: (43) 3542-4525 – Fax 3542-3322  e CNPJ 76.235.753/0001-48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55DD" w:rsidRDefault="002F55DD">
      <w:r>
        <w:separator/>
      </w:r>
    </w:p>
  </w:footnote>
  <w:footnote w:type="continuationSeparator" w:id="1">
    <w:p w:rsidR="002F55DD" w:rsidRDefault="002F55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31D" w:rsidRDefault="00A3331D">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31D" w:rsidRDefault="00A3331D">
    <w:pPr>
      <w:pStyle w:val="Cabealho"/>
      <w:ind w:left="-57"/>
    </w:pPr>
    <w:r>
      <w:rPr>
        <w:noProof/>
      </w:rPr>
      <w:drawing>
        <wp:anchor distT="0" distB="0" distL="0" distR="0" simplePos="0" relativeHeight="251659264" behindDoc="1" locked="0" layoutInCell="1" allowOverlap="1">
          <wp:simplePos x="0" y="0"/>
          <wp:positionH relativeFrom="column">
            <wp:posOffset>-1270</wp:posOffset>
          </wp:positionH>
          <wp:positionV relativeFrom="paragraph">
            <wp:posOffset>3810</wp:posOffset>
          </wp:positionV>
          <wp:extent cx="979805" cy="1045845"/>
          <wp:effectExtent l="0" t="0" r="0" b="0"/>
          <wp:wrapNone/>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a:xfrm>
                    <a:off x="0" y="0"/>
                    <a:ext cx="979805" cy="1045845"/>
                  </a:xfrm>
                  <a:prstGeom prst="rect">
                    <a:avLst/>
                  </a:prstGeom>
                  <a:noFill/>
                </pic:spPr>
              </pic:pic>
            </a:graphicData>
          </a:graphic>
        </wp:anchor>
      </w:drawing>
    </w:r>
    <w:r>
      <w:rPr>
        <w:noProof/>
      </w:rPr>
      <w:pict>
        <v:shape id="Retângulo 6" o:spid="_x0000_s2050" style="position:absolute;left:0;text-align:left;margin-left:81pt;margin-top:.95pt;width:334pt;height:68.05pt;z-index:251661312;mso-position-horizontal-relative:text;mso-position-vertical-relative:text" coordsize="21600,21600" o:spt="100" o:gfxdata="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" o:allowincell="f" adj="0,,0" path="m,l-127,r,-127l,-127xe" filled="f" stroked="f">
          <v:stroke joinstyle="round"/>
          <v:formulas/>
          <v:path o:connecttype="segments" o:connectlocs="0,0;-538708,0;-538708,-109757;0,-109757" o:connectangles="0,0,0,0"/>
        </v:shape>
      </w:pict>
    </w:r>
  </w:p>
  <w:p w:rsidR="00A3331D" w:rsidRDefault="00A3331D">
    <w:pPr>
      <w:pStyle w:val="Contedodoquadrouser"/>
      <w:spacing w:before="360"/>
      <w:ind w:left="1" w:hanging="3"/>
      <w:jc w:val="center"/>
      <w:rPr>
        <w:sz w:val="28"/>
        <w:szCs w:val="28"/>
      </w:rPr>
    </w:pPr>
    <w:r>
      <w:rPr>
        <w:rFonts w:ascii="Algerian" w:eastAsia="Algerian" w:hAnsi="Algerian" w:cs="Algerian"/>
        <w:i/>
        <w:color w:val="000000"/>
        <w:sz w:val="28"/>
        <w:szCs w:val="28"/>
      </w:rPr>
      <w:t>PREFEITURA MUNICIPAL DE BANDEIRANTES</w:t>
    </w:r>
  </w:p>
  <w:p w:rsidR="00A3331D" w:rsidRDefault="00A3331D">
    <w:pPr>
      <w:tabs>
        <w:tab w:val="center" w:pos="4252"/>
        <w:tab w:val="right" w:pos="8504"/>
      </w:tabs>
      <w:ind w:hanging="2"/>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31D" w:rsidRDefault="00A3331D">
    <w:pPr>
      <w:pStyle w:val="Cabealho"/>
      <w:ind w:left="-57"/>
    </w:pPr>
    <w:r>
      <w:rPr>
        <w:noProof/>
      </w:rPr>
      <w:drawing>
        <wp:anchor distT="0" distB="0" distL="0" distR="0" simplePos="0" relativeHeight="251660288" behindDoc="1" locked="0" layoutInCell="1" allowOverlap="1">
          <wp:simplePos x="0" y="0"/>
          <wp:positionH relativeFrom="column">
            <wp:posOffset>-1270</wp:posOffset>
          </wp:positionH>
          <wp:positionV relativeFrom="paragraph">
            <wp:posOffset>3810</wp:posOffset>
          </wp:positionV>
          <wp:extent cx="979805" cy="1045845"/>
          <wp:effectExtent l="0" t="0" r="0" b="0"/>
          <wp:wrapNone/>
          <wp:docPr id="3"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1"/>
                  <pic:cNvPicPr>
                    <a:picLocks noChangeAspect="1" noChangeArrowheads="1"/>
                  </pic:cNvPicPr>
                </pic:nvPicPr>
                <pic:blipFill>
                  <a:blip r:embed="rId1"/>
                  <a:stretch>
                    <a:fillRect/>
                  </a:stretch>
                </pic:blipFill>
                <pic:spPr>
                  <a:xfrm>
                    <a:off x="0" y="0"/>
                    <a:ext cx="979805" cy="1045845"/>
                  </a:xfrm>
                  <a:prstGeom prst="rect">
                    <a:avLst/>
                  </a:prstGeom>
                  <a:noFill/>
                </pic:spPr>
              </pic:pic>
            </a:graphicData>
          </a:graphic>
        </wp:anchor>
      </w:drawing>
    </w:r>
    <w:r>
      <w:rPr>
        <w:noProof/>
      </w:rPr>
      <w:pict>
        <v:shape id="Freeform 1" o:spid="_x0000_s2049" style="position:absolute;left:0;text-align:left;margin-left:81pt;margin-top:.95pt;width:334pt;height:68.05pt;z-index:251662336;mso-position-horizontal-relative:text;mso-position-vertical-relative:text" coordsize="21600,21600" o:spt="100" o:gfxdata="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AAAAABkcnMvUEsBAhQAFAAA&#10;AAgAh07iQDxKDTnWAAAACQEAAA8AAAAAAAAAAQAgAAAAIgAAAGRycy9kb3ducmV2LnhtbFBLAQIU&#10;ABQAAAAIAIdO4kBdpfst2QIAAAoHAAAOAAAAAAAAAAEAIAAAACUBAABkcnMvZTJvRG9jLnhtbFBL&#10;BQYAAAAABgAGAFkBAABwBgAAAAA=&#10;" o:allowincell="f" adj="0,,0" path="m,l-127,r,-127l,-127xe" filled="f" stroked="f">
          <v:stroke joinstyle="round"/>
          <v:formulas/>
          <v:path o:connecttype="segments" o:connectlocs="0,0;-538708,0;-538708,-109757;0,-109757" o:connectangles="0,0,0,0"/>
        </v:shape>
      </w:pict>
    </w:r>
  </w:p>
  <w:p w:rsidR="00A3331D" w:rsidRDefault="00A3331D">
    <w:pPr>
      <w:pStyle w:val="Contedodoquadrouser"/>
      <w:spacing w:before="360"/>
      <w:ind w:left="1" w:hanging="3"/>
      <w:jc w:val="center"/>
      <w:rPr>
        <w:sz w:val="28"/>
        <w:szCs w:val="28"/>
      </w:rPr>
    </w:pPr>
    <w:r>
      <w:rPr>
        <w:rFonts w:ascii="Algerian" w:eastAsia="Algerian" w:hAnsi="Algerian" w:cs="Algerian"/>
        <w:i/>
        <w:color w:val="000000"/>
        <w:sz w:val="28"/>
        <w:szCs w:val="28"/>
      </w:rPr>
      <w:t>PREFEITURA MUNICIPAL DE BANDEIRANTES</w:t>
    </w:r>
  </w:p>
  <w:p w:rsidR="00A3331D" w:rsidRDefault="00A3331D">
    <w:pPr>
      <w:tabs>
        <w:tab w:val="center" w:pos="4252"/>
        <w:tab w:val="right" w:pos="8504"/>
      </w:tabs>
      <w:ind w:hanging="2"/>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4B181F"/>
    <w:multiLevelType w:val="singleLevel"/>
    <w:tmpl w:val="A54B181F"/>
    <w:lvl w:ilvl="0">
      <w:start w:val="1"/>
      <w:numFmt w:val="lowerLetter"/>
      <w:suff w:val="space"/>
      <w:lvlText w:val="%1)"/>
      <w:lvlJc w:val="left"/>
      <w:rPr>
        <w:rFonts w:hint="default"/>
        <w:b w:val="0"/>
        <w:bCs w:val="0"/>
      </w:rPr>
    </w:lvl>
  </w:abstractNum>
  <w:abstractNum w:abstractNumId="1">
    <w:nsid w:val="E9422406"/>
    <w:multiLevelType w:val="singleLevel"/>
    <w:tmpl w:val="E9422406"/>
    <w:lvl w:ilvl="0">
      <w:start w:val="41"/>
      <w:numFmt w:val="decimal"/>
      <w:suff w:val="space"/>
      <w:lvlText w:val="(%1)"/>
      <w:lvlJc w:val="left"/>
    </w:lvl>
  </w:abstractNum>
  <w:abstractNum w:abstractNumId="2">
    <w:nsid w:val="075A4B2B"/>
    <w:multiLevelType w:val="multilevel"/>
    <w:tmpl w:val="075A4B2B"/>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9234352"/>
    <w:multiLevelType w:val="multilevel"/>
    <w:tmpl w:val="092343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B34118"/>
    <w:multiLevelType w:val="hybridMultilevel"/>
    <w:tmpl w:val="DBFCDA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5C5450A"/>
    <w:multiLevelType w:val="singleLevel"/>
    <w:tmpl w:val="15C5450A"/>
    <w:lvl w:ilvl="0">
      <w:start w:val="1"/>
      <w:numFmt w:val="decimal"/>
      <w:suff w:val="space"/>
      <w:lvlText w:val="%1."/>
      <w:lvlJc w:val="left"/>
    </w:lvl>
  </w:abstractNum>
  <w:abstractNum w:abstractNumId="6">
    <w:nsid w:val="1A166954"/>
    <w:multiLevelType w:val="multilevel"/>
    <w:tmpl w:val="1A166954"/>
    <w:lvl w:ilvl="0">
      <w:start w:val="1"/>
      <w:numFmt w:val="bullet"/>
      <w:lvlText w:val=""/>
      <w:lvlJc w:val="left"/>
      <w:pPr>
        <w:ind w:left="718" w:hanging="360"/>
      </w:pPr>
      <w:rPr>
        <w:rFonts w:ascii="Wingdings" w:hAnsi="Wingdings" w:hint="default"/>
      </w:rPr>
    </w:lvl>
    <w:lvl w:ilvl="1">
      <w:start w:val="1"/>
      <w:numFmt w:val="bullet"/>
      <w:lvlText w:val="o"/>
      <w:lvlJc w:val="left"/>
      <w:pPr>
        <w:ind w:left="1438" w:hanging="360"/>
      </w:pPr>
      <w:rPr>
        <w:rFonts w:ascii="Courier New" w:hAnsi="Courier New" w:cs="Courier New" w:hint="default"/>
      </w:rPr>
    </w:lvl>
    <w:lvl w:ilvl="2">
      <w:start w:val="1"/>
      <w:numFmt w:val="bullet"/>
      <w:lvlText w:val=""/>
      <w:lvlJc w:val="left"/>
      <w:pPr>
        <w:ind w:left="2158" w:hanging="360"/>
      </w:pPr>
      <w:rPr>
        <w:rFonts w:ascii="Wingdings" w:hAnsi="Wingdings" w:hint="default"/>
      </w:rPr>
    </w:lvl>
    <w:lvl w:ilvl="3">
      <w:start w:val="1"/>
      <w:numFmt w:val="bullet"/>
      <w:lvlText w:val=""/>
      <w:lvlJc w:val="left"/>
      <w:pPr>
        <w:ind w:left="2878" w:hanging="360"/>
      </w:pPr>
      <w:rPr>
        <w:rFonts w:ascii="Symbol" w:hAnsi="Symbol" w:hint="default"/>
      </w:rPr>
    </w:lvl>
    <w:lvl w:ilvl="4">
      <w:start w:val="1"/>
      <w:numFmt w:val="bullet"/>
      <w:lvlText w:val="o"/>
      <w:lvlJc w:val="left"/>
      <w:pPr>
        <w:ind w:left="3598" w:hanging="360"/>
      </w:pPr>
      <w:rPr>
        <w:rFonts w:ascii="Courier New" w:hAnsi="Courier New" w:cs="Courier New" w:hint="default"/>
      </w:rPr>
    </w:lvl>
    <w:lvl w:ilvl="5">
      <w:start w:val="1"/>
      <w:numFmt w:val="bullet"/>
      <w:lvlText w:val=""/>
      <w:lvlJc w:val="left"/>
      <w:pPr>
        <w:ind w:left="4318" w:hanging="360"/>
      </w:pPr>
      <w:rPr>
        <w:rFonts w:ascii="Wingdings" w:hAnsi="Wingdings" w:hint="default"/>
      </w:rPr>
    </w:lvl>
    <w:lvl w:ilvl="6">
      <w:start w:val="1"/>
      <w:numFmt w:val="bullet"/>
      <w:lvlText w:val=""/>
      <w:lvlJc w:val="left"/>
      <w:pPr>
        <w:ind w:left="5038" w:hanging="360"/>
      </w:pPr>
      <w:rPr>
        <w:rFonts w:ascii="Symbol" w:hAnsi="Symbol" w:hint="default"/>
      </w:rPr>
    </w:lvl>
    <w:lvl w:ilvl="7">
      <w:start w:val="1"/>
      <w:numFmt w:val="bullet"/>
      <w:lvlText w:val="o"/>
      <w:lvlJc w:val="left"/>
      <w:pPr>
        <w:ind w:left="5758" w:hanging="360"/>
      </w:pPr>
      <w:rPr>
        <w:rFonts w:ascii="Courier New" w:hAnsi="Courier New" w:cs="Courier New" w:hint="default"/>
      </w:rPr>
    </w:lvl>
    <w:lvl w:ilvl="8">
      <w:start w:val="1"/>
      <w:numFmt w:val="bullet"/>
      <w:lvlText w:val=""/>
      <w:lvlJc w:val="left"/>
      <w:pPr>
        <w:ind w:left="6478" w:hanging="360"/>
      </w:pPr>
      <w:rPr>
        <w:rFonts w:ascii="Wingdings" w:hAnsi="Wingdings" w:hint="default"/>
      </w:rPr>
    </w:lvl>
  </w:abstractNum>
  <w:abstractNum w:abstractNumId="7">
    <w:nsid w:val="1D421670"/>
    <w:multiLevelType w:val="multilevel"/>
    <w:tmpl w:val="1D42167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1DCE1123"/>
    <w:multiLevelType w:val="multilevel"/>
    <w:tmpl w:val="1DCE1123"/>
    <w:lvl w:ilvl="0">
      <w:start w:val="1"/>
      <w:numFmt w:val="decimal"/>
      <w:lvlText w:val="%1."/>
      <w:lvlJc w:val="left"/>
      <w:pPr>
        <w:tabs>
          <w:tab w:val="left" w:pos="0"/>
        </w:tabs>
        <w:ind w:left="358" w:hanging="360"/>
      </w:pPr>
    </w:lvl>
    <w:lvl w:ilvl="1">
      <w:start w:val="1"/>
      <w:numFmt w:val="lowerLetter"/>
      <w:lvlText w:val="%2."/>
      <w:lvlJc w:val="left"/>
      <w:pPr>
        <w:tabs>
          <w:tab w:val="left" w:pos="0"/>
        </w:tabs>
        <w:ind w:left="1078" w:hanging="360"/>
      </w:pPr>
    </w:lvl>
    <w:lvl w:ilvl="2">
      <w:start w:val="1"/>
      <w:numFmt w:val="lowerRoman"/>
      <w:lvlText w:val="%3."/>
      <w:lvlJc w:val="right"/>
      <w:pPr>
        <w:tabs>
          <w:tab w:val="left" w:pos="0"/>
        </w:tabs>
        <w:ind w:left="1798" w:hanging="180"/>
      </w:pPr>
    </w:lvl>
    <w:lvl w:ilvl="3">
      <w:start w:val="1"/>
      <w:numFmt w:val="decimal"/>
      <w:lvlText w:val="%4."/>
      <w:lvlJc w:val="left"/>
      <w:pPr>
        <w:tabs>
          <w:tab w:val="left" w:pos="0"/>
        </w:tabs>
        <w:ind w:left="2518" w:hanging="360"/>
      </w:pPr>
    </w:lvl>
    <w:lvl w:ilvl="4">
      <w:start w:val="1"/>
      <w:numFmt w:val="lowerLetter"/>
      <w:lvlText w:val="%5."/>
      <w:lvlJc w:val="left"/>
      <w:pPr>
        <w:tabs>
          <w:tab w:val="left" w:pos="0"/>
        </w:tabs>
        <w:ind w:left="3238" w:hanging="360"/>
      </w:pPr>
    </w:lvl>
    <w:lvl w:ilvl="5">
      <w:start w:val="1"/>
      <w:numFmt w:val="lowerRoman"/>
      <w:lvlText w:val="%6."/>
      <w:lvlJc w:val="right"/>
      <w:pPr>
        <w:tabs>
          <w:tab w:val="left" w:pos="0"/>
        </w:tabs>
        <w:ind w:left="3958" w:hanging="180"/>
      </w:pPr>
    </w:lvl>
    <w:lvl w:ilvl="6">
      <w:start w:val="1"/>
      <w:numFmt w:val="decimal"/>
      <w:lvlText w:val="%7."/>
      <w:lvlJc w:val="left"/>
      <w:pPr>
        <w:tabs>
          <w:tab w:val="left" w:pos="0"/>
        </w:tabs>
        <w:ind w:left="4678" w:hanging="360"/>
      </w:pPr>
    </w:lvl>
    <w:lvl w:ilvl="7">
      <w:start w:val="1"/>
      <w:numFmt w:val="lowerLetter"/>
      <w:lvlText w:val="%8."/>
      <w:lvlJc w:val="left"/>
      <w:pPr>
        <w:tabs>
          <w:tab w:val="left" w:pos="0"/>
        </w:tabs>
        <w:ind w:left="5398" w:hanging="360"/>
      </w:pPr>
    </w:lvl>
    <w:lvl w:ilvl="8">
      <w:start w:val="1"/>
      <w:numFmt w:val="lowerRoman"/>
      <w:lvlText w:val="%9."/>
      <w:lvlJc w:val="right"/>
      <w:pPr>
        <w:tabs>
          <w:tab w:val="left" w:pos="0"/>
        </w:tabs>
        <w:ind w:left="6118" w:hanging="180"/>
      </w:pPr>
    </w:lvl>
  </w:abstractNum>
  <w:abstractNum w:abstractNumId="9">
    <w:nsid w:val="28347A67"/>
    <w:multiLevelType w:val="multilevel"/>
    <w:tmpl w:val="28347A6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894645F"/>
    <w:multiLevelType w:val="hybridMultilevel"/>
    <w:tmpl w:val="D64CB16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61448E4"/>
    <w:multiLevelType w:val="multilevel"/>
    <w:tmpl w:val="361448E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983247C"/>
    <w:multiLevelType w:val="multilevel"/>
    <w:tmpl w:val="3983247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3B466408"/>
    <w:multiLevelType w:val="singleLevel"/>
    <w:tmpl w:val="3B466408"/>
    <w:lvl w:ilvl="0">
      <w:start w:val="1"/>
      <w:numFmt w:val="lowerLetter"/>
      <w:suff w:val="space"/>
      <w:lvlText w:val="%1)"/>
      <w:lvlJc w:val="left"/>
    </w:lvl>
  </w:abstractNum>
  <w:abstractNum w:abstractNumId="14">
    <w:nsid w:val="3E42258B"/>
    <w:multiLevelType w:val="multilevel"/>
    <w:tmpl w:val="3E42258B"/>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7280932"/>
    <w:multiLevelType w:val="hybridMultilevel"/>
    <w:tmpl w:val="002CDE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72E74A8"/>
    <w:multiLevelType w:val="multilevel"/>
    <w:tmpl w:val="472E74A8"/>
    <w:lvl w:ilvl="0">
      <w:start w:val="1"/>
      <w:numFmt w:val="decimal"/>
      <w:lvlText w:val="%1."/>
      <w:lvlJc w:val="left"/>
      <w:pPr>
        <w:tabs>
          <w:tab w:val="left" w:pos="0"/>
        </w:tabs>
        <w:ind w:left="358" w:hanging="360"/>
      </w:pPr>
    </w:lvl>
    <w:lvl w:ilvl="1">
      <w:start w:val="4"/>
      <w:numFmt w:val="decimal"/>
      <w:lvlText w:val="%1.%2."/>
      <w:lvlJc w:val="left"/>
      <w:pPr>
        <w:tabs>
          <w:tab w:val="left" w:pos="0"/>
        </w:tabs>
        <w:ind w:left="539" w:hanging="540"/>
      </w:pPr>
    </w:lvl>
    <w:lvl w:ilvl="2">
      <w:start w:val="4"/>
      <w:numFmt w:val="decimal"/>
      <w:lvlText w:val="%1.%2.%3."/>
      <w:lvlJc w:val="left"/>
      <w:pPr>
        <w:tabs>
          <w:tab w:val="left" w:pos="0"/>
        </w:tabs>
        <w:ind w:left="720" w:hanging="720"/>
      </w:pPr>
    </w:lvl>
    <w:lvl w:ilvl="3">
      <w:start w:val="1"/>
      <w:numFmt w:val="decimal"/>
      <w:lvlText w:val="%1.%2.%3.%4."/>
      <w:lvlJc w:val="left"/>
      <w:pPr>
        <w:tabs>
          <w:tab w:val="left" w:pos="0"/>
        </w:tabs>
        <w:ind w:left="721" w:hanging="720"/>
      </w:pPr>
    </w:lvl>
    <w:lvl w:ilvl="4">
      <w:start w:val="1"/>
      <w:numFmt w:val="decimal"/>
      <w:lvlText w:val="%1.%2.%3.%4.%5."/>
      <w:lvlJc w:val="left"/>
      <w:pPr>
        <w:tabs>
          <w:tab w:val="left" w:pos="0"/>
        </w:tabs>
        <w:ind w:left="1082" w:hanging="1080"/>
      </w:pPr>
    </w:lvl>
    <w:lvl w:ilvl="5">
      <w:start w:val="1"/>
      <w:numFmt w:val="decimal"/>
      <w:lvlText w:val="%1.%2.%3.%4.%5.%6."/>
      <w:lvlJc w:val="left"/>
      <w:pPr>
        <w:tabs>
          <w:tab w:val="left" w:pos="0"/>
        </w:tabs>
        <w:ind w:left="1083" w:hanging="1080"/>
      </w:pPr>
    </w:lvl>
    <w:lvl w:ilvl="6">
      <w:start w:val="1"/>
      <w:numFmt w:val="decimal"/>
      <w:lvlText w:val="%1.%2.%3.%4.%5.%6.%7."/>
      <w:lvlJc w:val="left"/>
      <w:pPr>
        <w:tabs>
          <w:tab w:val="left" w:pos="0"/>
        </w:tabs>
        <w:ind w:left="1444" w:hanging="1440"/>
      </w:pPr>
    </w:lvl>
    <w:lvl w:ilvl="7">
      <w:start w:val="1"/>
      <w:numFmt w:val="decimal"/>
      <w:lvlText w:val="%1.%2.%3.%4.%5.%6.%7.%8."/>
      <w:lvlJc w:val="left"/>
      <w:pPr>
        <w:tabs>
          <w:tab w:val="left" w:pos="0"/>
        </w:tabs>
        <w:ind w:left="1445" w:hanging="1440"/>
      </w:pPr>
    </w:lvl>
    <w:lvl w:ilvl="8">
      <w:start w:val="1"/>
      <w:numFmt w:val="decimal"/>
      <w:lvlText w:val="%1.%2.%3.%4.%5.%6.%7.%8.%9."/>
      <w:lvlJc w:val="left"/>
      <w:pPr>
        <w:tabs>
          <w:tab w:val="left" w:pos="0"/>
        </w:tabs>
        <w:ind w:left="1806" w:hanging="1800"/>
      </w:pPr>
    </w:lvl>
  </w:abstractNum>
  <w:abstractNum w:abstractNumId="17">
    <w:nsid w:val="4D9332CC"/>
    <w:multiLevelType w:val="hybridMultilevel"/>
    <w:tmpl w:val="E46EF7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59491008"/>
    <w:multiLevelType w:val="multilevel"/>
    <w:tmpl w:val="59491008"/>
    <w:lvl w:ilvl="0">
      <w:start w:val="1"/>
      <w:numFmt w:val="decimal"/>
      <w:lvlText w:val="%1."/>
      <w:lvlJc w:val="left"/>
      <w:pPr>
        <w:tabs>
          <w:tab w:val="left" w:pos="0"/>
        </w:tabs>
        <w:ind w:left="568" w:hanging="570"/>
      </w:pPr>
    </w:lvl>
    <w:lvl w:ilvl="1">
      <w:start w:val="1"/>
      <w:numFmt w:val="decimal"/>
      <w:lvlText w:val="%1.%2."/>
      <w:lvlJc w:val="left"/>
      <w:pPr>
        <w:tabs>
          <w:tab w:val="left" w:pos="0"/>
        </w:tabs>
        <w:ind w:left="358" w:hanging="360"/>
      </w:pPr>
      <w:rPr>
        <w:b/>
        <w:bCs/>
      </w:rPr>
    </w:lvl>
    <w:lvl w:ilvl="2">
      <w:start w:val="1"/>
      <w:numFmt w:val="decimal"/>
      <w:lvlText w:val="%1.%2.%3."/>
      <w:lvlJc w:val="left"/>
      <w:pPr>
        <w:tabs>
          <w:tab w:val="left" w:pos="0"/>
        </w:tabs>
        <w:ind w:left="718" w:hanging="720"/>
      </w:pPr>
      <w:rPr>
        <w:b/>
      </w:rPr>
    </w:lvl>
    <w:lvl w:ilvl="3">
      <w:start w:val="1"/>
      <w:numFmt w:val="decimal"/>
      <w:lvlText w:val="%1.%2.%3.%4."/>
      <w:lvlJc w:val="left"/>
      <w:pPr>
        <w:tabs>
          <w:tab w:val="left" w:pos="0"/>
        </w:tabs>
        <w:ind w:left="718" w:hanging="720"/>
      </w:pPr>
    </w:lvl>
    <w:lvl w:ilvl="4">
      <w:start w:val="1"/>
      <w:numFmt w:val="decimal"/>
      <w:lvlText w:val="%1.%2.%3.%4.%5."/>
      <w:lvlJc w:val="left"/>
      <w:pPr>
        <w:tabs>
          <w:tab w:val="left" w:pos="0"/>
        </w:tabs>
        <w:ind w:left="1078" w:hanging="1080"/>
      </w:pPr>
    </w:lvl>
    <w:lvl w:ilvl="5">
      <w:start w:val="1"/>
      <w:numFmt w:val="decimal"/>
      <w:lvlText w:val="%1.%2.%3.%4.%5.%6."/>
      <w:lvlJc w:val="left"/>
      <w:pPr>
        <w:tabs>
          <w:tab w:val="left" w:pos="0"/>
        </w:tabs>
        <w:ind w:left="1078" w:hanging="1080"/>
      </w:pPr>
    </w:lvl>
    <w:lvl w:ilvl="6">
      <w:start w:val="1"/>
      <w:numFmt w:val="decimal"/>
      <w:lvlText w:val="%1.%2.%3.%4.%5.%6.%7."/>
      <w:lvlJc w:val="left"/>
      <w:pPr>
        <w:tabs>
          <w:tab w:val="left" w:pos="0"/>
        </w:tabs>
        <w:ind w:left="1438" w:hanging="1440"/>
      </w:pPr>
    </w:lvl>
    <w:lvl w:ilvl="7">
      <w:start w:val="1"/>
      <w:numFmt w:val="decimal"/>
      <w:lvlText w:val="%1.%2.%3.%4.%5.%6.%7.%8."/>
      <w:lvlJc w:val="left"/>
      <w:pPr>
        <w:tabs>
          <w:tab w:val="left" w:pos="0"/>
        </w:tabs>
        <w:ind w:left="1438" w:hanging="1440"/>
      </w:pPr>
    </w:lvl>
    <w:lvl w:ilvl="8">
      <w:start w:val="1"/>
      <w:numFmt w:val="decimal"/>
      <w:lvlText w:val="%1.%2.%3.%4.%5.%6.%7.%8.%9."/>
      <w:lvlJc w:val="left"/>
      <w:pPr>
        <w:tabs>
          <w:tab w:val="left" w:pos="0"/>
        </w:tabs>
        <w:ind w:left="1798" w:hanging="1800"/>
      </w:pPr>
    </w:lvl>
  </w:abstractNum>
  <w:abstractNum w:abstractNumId="19">
    <w:nsid w:val="63E87A32"/>
    <w:multiLevelType w:val="hybridMultilevel"/>
    <w:tmpl w:val="37A8B9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7991F55"/>
    <w:multiLevelType w:val="singleLevel"/>
    <w:tmpl w:val="67991F55"/>
    <w:lvl w:ilvl="0">
      <w:start w:val="1"/>
      <w:numFmt w:val="lowerLetter"/>
      <w:suff w:val="space"/>
      <w:lvlText w:val="%1)"/>
      <w:lvlJc w:val="left"/>
    </w:lvl>
  </w:abstractNum>
  <w:abstractNum w:abstractNumId="21">
    <w:nsid w:val="69496123"/>
    <w:multiLevelType w:val="hybridMultilevel"/>
    <w:tmpl w:val="8B46688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AFB6CB1"/>
    <w:multiLevelType w:val="multilevel"/>
    <w:tmpl w:val="6AFB6CB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6E750E38"/>
    <w:multiLevelType w:val="singleLevel"/>
    <w:tmpl w:val="6E750E38"/>
    <w:lvl w:ilvl="0">
      <w:start w:val="1"/>
      <w:numFmt w:val="bullet"/>
      <w:lvlText w:val=""/>
      <w:lvlJc w:val="left"/>
      <w:pPr>
        <w:tabs>
          <w:tab w:val="left" w:pos="420"/>
        </w:tabs>
        <w:ind w:left="420" w:hanging="420"/>
      </w:pPr>
      <w:rPr>
        <w:rFonts w:ascii="Wingdings" w:hAnsi="Wingdings" w:hint="default"/>
      </w:rPr>
    </w:lvl>
  </w:abstractNum>
  <w:abstractNum w:abstractNumId="24">
    <w:nsid w:val="75FE2D85"/>
    <w:multiLevelType w:val="singleLevel"/>
    <w:tmpl w:val="75FE2D85"/>
    <w:lvl w:ilvl="0">
      <w:start w:val="1"/>
      <w:numFmt w:val="lowerLetter"/>
      <w:suff w:val="space"/>
      <w:lvlText w:val="%1)"/>
      <w:lvlJc w:val="left"/>
    </w:lvl>
  </w:abstractNum>
  <w:abstractNum w:abstractNumId="25">
    <w:nsid w:val="76783938"/>
    <w:multiLevelType w:val="hybridMultilevel"/>
    <w:tmpl w:val="9F0C32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75B250D"/>
    <w:multiLevelType w:val="multilevel"/>
    <w:tmpl w:val="775B250D"/>
    <w:lvl w:ilvl="0">
      <w:start w:val="1"/>
      <w:numFmt w:val="decimal"/>
      <w:lvlText w:val=" %1."/>
      <w:lvlJc w:val="left"/>
      <w:pPr>
        <w:tabs>
          <w:tab w:val="left" w:pos="502"/>
        </w:tabs>
        <w:ind w:left="502" w:hanging="360"/>
      </w:pPr>
    </w:lvl>
    <w:lvl w:ilvl="1">
      <w:start w:val="1"/>
      <w:numFmt w:val="decimal"/>
      <w:lvlText w:val="%2."/>
      <w:lvlJc w:val="left"/>
      <w:pPr>
        <w:tabs>
          <w:tab w:val="left" w:pos="862"/>
        </w:tabs>
        <w:ind w:left="862" w:hanging="360"/>
      </w:pPr>
    </w:lvl>
    <w:lvl w:ilvl="2">
      <w:start w:val="1"/>
      <w:numFmt w:val="decimal"/>
      <w:lvlText w:val="%3."/>
      <w:lvlJc w:val="left"/>
      <w:pPr>
        <w:tabs>
          <w:tab w:val="left" w:pos="1222"/>
        </w:tabs>
        <w:ind w:left="1222" w:hanging="360"/>
      </w:pPr>
    </w:lvl>
    <w:lvl w:ilvl="3">
      <w:start w:val="1"/>
      <w:numFmt w:val="decimal"/>
      <w:lvlText w:val="%4."/>
      <w:lvlJc w:val="left"/>
      <w:pPr>
        <w:tabs>
          <w:tab w:val="left" w:pos="1582"/>
        </w:tabs>
        <w:ind w:left="1582" w:hanging="360"/>
      </w:pPr>
    </w:lvl>
    <w:lvl w:ilvl="4">
      <w:start w:val="1"/>
      <w:numFmt w:val="decimal"/>
      <w:lvlText w:val="%5."/>
      <w:lvlJc w:val="left"/>
      <w:pPr>
        <w:tabs>
          <w:tab w:val="left" w:pos="1942"/>
        </w:tabs>
        <w:ind w:left="1942" w:hanging="360"/>
      </w:pPr>
    </w:lvl>
    <w:lvl w:ilvl="5">
      <w:start w:val="1"/>
      <w:numFmt w:val="decimal"/>
      <w:lvlText w:val="%6."/>
      <w:lvlJc w:val="left"/>
      <w:pPr>
        <w:tabs>
          <w:tab w:val="left" w:pos="2302"/>
        </w:tabs>
        <w:ind w:left="2302" w:hanging="360"/>
      </w:pPr>
    </w:lvl>
    <w:lvl w:ilvl="6">
      <w:start w:val="1"/>
      <w:numFmt w:val="decimal"/>
      <w:lvlText w:val="%7."/>
      <w:lvlJc w:val="left"/>
      <w:pPr>
        <w:tabs>
          <w:tab w:val="left" w:pos="2662"/>
        </w:tabs>
        <w:ind w:left="2662" w:hanging="360"/>
      </w:pPr>
    </w:lvl>
    <w:lvl w:ilvl="7">
      <w:start w:val="1"/>
      <w:numFmt w:val="decimal"/>
      <w:lvlText w:val="%8."/>
      <w:lvlJc w:val="left"/>
      <w:pPr>
        <w:tabs>
          <w:tab w:val="left" w:pos="3022"/>
        </w:tabs>
        <w:ind w:left="3022" w:hanging="360"/>
      </w:pPr>
    </w:lvl>
    <w:lvl w:ilvl="8">
      <w:start w:val="1"/>
      <w:numFmt w:val="decimal"/>
      <w:lvlText w:val="%9."/>
      <w:lvlJc w:val="left"/>
      <w:pPr>
        <w:tabs>
          <w:tab w:val="left" w:pos="3382"/>
        </w:tabs>
        <w:ind w:left="3382" w:hanging="360"/>
      </w:pPr>
    </w:lvl>
  </w:abstractNum>
  <w:abstractNum w:abstractNumId="27">
    <w:nsid w:val="7D5EC789"/>
    <w:multiLevelType w:val="singleLevel"/>
    <w:tmpl w:val="7D5EC789"/>
    <w:lvl w:ilvl="0">
      <w:start w:val="1"/>
      <w:numFmt w:val="decimal"/>
      <w:suff w:val="space"/>
      <w:lvlText w:val="%1."/>
      <w:lvlJc w:val="left"/>
      <w:rPr>
        <w:rFonts w:hint="default"/>
        <w:b/>
        <w:bCs/>
      </w:rPr>
    </w:lvl>
  </w:abstractNum>
  <w:num w:numId="1">
    <w:abstractNumId w:val="16"/>
  </w:num>
  <w:num w:numId="2">
    <w:abstractNumId w:val="18"/>
  </w:num>
  <w:num w:numId="3">
    <w:abstractNumId w:val="24"/>
  </w:num>
  <w:num w:numId="4">
    <w:abstractNumId w:val="8"/>
  </w:num>
  <w:num w:numId="5">
    <w:abstractNumId w:val="1"/>
  </w:num>
  <w:num w:numId="6">
    <w:abstractNumId w:val="0"/>
  </w:num>
  <w:num w:numId="7">
    <w:abstractNumId w:val="7"/>
  </w:num>
  <w:num w:numId="8">
    <w:abstractNumId w:val="27"/>
  </w:num>
  <w:num w:numId="9">
    <w:abstractNumId w:val="6"/>
  </w:num>
  <w:num w:numId="10">
    <w:abstractNumId w:val="26"/>
  </w:num>
  <w:num w:numId="11">
    <w:abstractNumId w:val="23"/>
  </w:num>
  <w:num w:numId="12">
    <w:abstractNumId w:val="12"/>
  </w:num>
  <w:num w:numId="13">
    <w:abstractNumId w:val="11"/>
  </w:num>
  <w:num w:numId="14">
    <w:abstractNumId w:val="22"/>
  </w:num>
  <w:num w:numId="15">
    <w:abstractNumId w:val="14"/>
  </w:num>
  <w:num w:numId="16">
    <w:abstractNumId w:val="2"/>
  </w:num>
  <w:num w:numId="17">
    <w:abstractNumId w:val="3"/>
  </w:num>
  <w:num w:numId="18">
    <w:abstractNumId w:val="9"/>
  </w:num>
  <w:num w:numId="19">
    <w:abstractNumId w:val="13"/>
  </w:num>
  <w:num w:numId="20">
    <w:abstractNumId w:val="5"/>
  </w:num>
  <w:num w:numId="21">
    <w:abstractNumId w:val="20"/>
  </w:num>
  <w:num w:numId="22">
    <w:abstractNumId w:val="4"/>
  </w:num>
  <w:num w:numId="23">
    <w:abstractNumId w:val="19"/>
  </w:num>
  <w:num w:numId="24">
    <w:abstractNumId w:val="17"/>
  </w:num>
  <w:num w:numId="25">
    <w:abstractNumId w:val="25"/>
  </w:num>
  <w:num w:numId="26">
    <w:abstractNumId w:val="15"/>
  </w:num>
  <w:num w:numId="27">
    <w:abstractNumId w:val="10"/>
  </w:num>
  <w:num w:numId="2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autoHyphenation/>
  <w:hyphenationZone w:val="425"/>
  <w:noPunctuationKerning/>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doNotExpandShiftReturn/>
    <w:useFELayout/>
  </w:compat>
  <w:rsids>
    <w:rsidRoot w:val="008761D4"/>
    <w:rsid w:val="000067AB"/>
    <w:rsid w:val="00012566"/>
    <w:rsid w:val="00020ED8"/>
    <w:rsid w:val="00067C7C"/>
    <w:rsid w:val="00085447"/>
    <w:rsid w:val="00087F35"/>
    <w:rsid w:val="00090979"/>
    <w:rsid w:val="000926C8"/>
    <w:rsid w:val="000D5070"/>
    <w:rsid w:val="000D624D"/>
    <w:rsid w:val="000F3368"/>
    <w:rsid w:val="0010210F"/>
    <w:rsid w:val="001075F3"/>
    <w:rsid w:val="00115C00"/>
    <w:rsid w:val="0013794A"/>
    <w:rsid w:val="00150D60"/>
    <w:rsid w:val="001661B5"/>
    <w:rsid w:val="00181101"/>
    <w:rsid w:val="001965D6"/>
    <w:rsid w:val="0019695F"/>
    <w:rsid w:val="001A7544"/>
    <w:rsid w:val="001C3A75"/>
    <w:rsid w:val="001F3F7F"/>
    <w:rsid w:val="0020171F"/>
    <w:rsid w:val="00227148"/>
    <w:rsid w:val="00270053"/>
    <w:rsid w:val="002C6FE0"/>
    <w:rsid w:val="002D22B4"/>
    <w:rsid w:val="002E4E10"/>
    <w:rsid w:val="002F03FC"/>
    <w:rsid w:val="002F55DD"/>
    <w:rsid w:val="00302FFB"/>
    <w:rsid w:val="003047E0"/>
    <w:rsid w:val="00326DC5"/>
    <w:rsid w:val="00340100"/>
    <w:rsid w:val="00342EDA"/>
    <w:rsid w:val="0036232A"/>
    <w:rsid w:val="00367D67"/>
    <w:rsid w:val="0037537F"/>
    <w:rsid w:val="00380326"/>
    <w:rsid w:val="003866A8"/>
    <w:rsid w:val="00393AF7"/>
    <w:rsid w:val="003A5C56"/>
    <w:rsid w:val="003C2739"/>
    <w:rsid w:val="003F63AA"/>
    <w:rsid w:val="00432EE5"/>
    <w:rsid w:val="004C4DE2"/>
    <w:rsid w:val="004D6E67"/>
    <w:rsid w:val="00505400"/>
    <w:rsid w:val="005567DD"/>
    <w:rsid w:val="00580B05"/>
    <w:rsid w:val="005866BA"/>
    <w:rsid w:val="0059602F"/>
    <w:rsid w:val="005964FB"/>
    <w:rsid w:val="005C50D0"/>
    <w:rsid w:val="00614D88"/>
    <w:rsid w:val="00643E46"/>
    <w:rsid w:val="006521C5"/>
    <w:rsid w:val="00666C32"/>
    <w:rsid w:val="006743F6"/>
    <w:rsid w:val="006975F1"/>
    <w:rsid w:val="006B3382"/>
    <w:rsid w:val="00717F04"/>
    <w:rsid w:val="00747746"/>
    <w:rsid w:val="007549F6"/>
    <w:rsid w:val="007555B3"/>
    <w:rsid w:val="007564B9"/>
    <w:rsid w:val="0076258C"/>
    <w:rsid w:val="00763580"/>
    <w:rsid w:val="007637DF"/>
    <w:rsid w:val="00770571"/>
    <w:rsid w:val="00791051"/>
    <w:rsid w:val="007A1B3B"/>
    <w:rsid w:val="007C16F6"/>
    <w:rsid w:val="008017F2"/>
    <w:rsid w:val="008502BC"/>
    <w:rsid w:val="00854DCD"/>
    <w:rsid w:val="00854E17"/>
    <w:rsid w:val="00855207"/>
    <w:rsid w:val="00860953"/>
    <w:rsid w:val="00864ED8"/>
    <w:rsid w:val="00875882"/>
    <w:rsid w:val="008761D4"/>
    <w:rsid w:val="00884BD0"/>
    <w:rsid w:val="00897165"/>
    <w:rsid w:val="008B79C1"/>
    <w:rsid w:val="008E0D27"/>
    <w:rsid w:val="008E2375"/>
    <w:rsid w:val="008F474D"/>
    <w:rsid w:val="0090359B"/>
    <w:rsid w:val="00920673"/>
    <w:rsid w:val="0092509A"/>
    <w:rsid w:val="00940C2A"/>
    <w:rsid w:val="009437A0"/>
    <w:rsid w:val="00973D00"/>
    <w:rsid w:val="00981131"/>
    <w:rsid w:val="009A43F0"/>
    <w:rsid w:val="009B4BC5"/>
    <w:rsid w:val="009B6EA9"/>
    <w:rsid w:val="009C77D9"/>
    <w:rsid w:val="009F0F0C"/>
    <w:rsid w:val="00A156F5"/>
    <w:rsid w:val="00A3331D"/>
    <w:rsid w:val="00A42A47"/>
    <w:rsid w:val="00A70C5F"/>
    <w:rsid w:val="00AB73C4"/>
    <w:rsid w:val="00AB7DB2"/>
    <w:rsid w:val="00AC08FC"/>
    <w:rsid w:val="00AF62AE"/>
    <w:rsid w:val="00B0309B"/>
    <w:rsid w:val="00B73950"/>
    <w:rsid w:val="00B74B88"/>
    <w:rsid w:val="00B87D5F"/>
    <w:rsid w:val="00B93DEC"/>
    <w:rsid w:val="00B9728B"/>
    <w:rsid w:val="00BE7F0B"/>
    <w:rsid w:val="00BF33DE"/>
    <w:rsid w:val="00C02F3B"/>
    <w:rsid w:val="00C36A64"/>
    <w:rsid w:val="00C42309"/>
    <w:rsid w:val="00C56FC7"/>
    <w:rsid w:val="00C7043A"/>
    <w:rsid w:val="00C77B69"/>
    <w:rsid w:val="00C81499"/>
    <w:rsid w:val="00CB2329"/>
    <w:rsid w:val="00CD76F5"/>
    <w:rsid w:val="00D3219C"/>
    <w:rsid w:val="00D677D8"/>
    <w:rsid w:val="00D73A12"/>
    <w:rsid w:val="00D81C3D"/>
    <w:rsid w:val="00D954AE"/>
    <w:rsid w:val="00DA37A2"/>
    <w:rsid w:val="00DC34B8"/>
    <w:rsid w:val="00DC490D"/>
    <w:rsid w:val="00E20AFB"/>
    <w:rsid w:val="00E5493D"/>
    <w:rsid w:val="00E676A4"/>
    <w:rsid w:val="00E901CC"/>
    <w:rsid w:val="00EA5341"/>
    <w:rsid w:val="00EF499F"/>
    <w:rsid w:val="00F24A2B"/>
    <w:rsid w:val="00F46D3C"/>
    <w:rsid w:val="00F50282"/>
    <w:rsid w:val="00F67573"/>
    <w:rsid w:val="00FA1E50"/>
    <w:rsid w:val="00FA23B2"/>
    <w:rsid w:val="00FA2DE9"/>
    <w:rsid w:val="00FA345D"/>
    <w:rsid w:val="00FD7C98"/>
    <w:rsid w:val="00FE3A6B"/>
    <w:rsid w:val="00FE4A16"/>
    <w:rsid w:val="00FF7232"/>
    <w:rsid w:val="05A56BF6"/>
    <w:rsid w:val="4111534F"/>
    <w:rsid w:val="5CC92B62"/>
    <w:rsid w:val="6AA4272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iPriority="0" w:qFormat="1"/>
    <w:lsdException w:name="header"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uiPriority="0" w:qFormat="1"/>
    <w:lsdException w:name="line number" w:semiHidden="1" w:unhideWhenUsed="1"/>
    <w:lsdException w:name="page number" w:semiHidden="1" w:unhideWhenUsed="1"/>
    <w:lsdException w:name="endnote reference" w:uiPriority="0"/>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Revision" w:semiHidden="1"/>
    <w:lsdException w:name="List Paragraph" w:uiPriority="34"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4B88"/>
    <w:rPr>
      <w:rFonts w:eastAsia="Times New Roman"/>
      <w:sz w:val="24"/>
      <w:szCs w:val="24"/>
    </w:rPr>
  </w:style>
  <w:style w:type="paragraph" w:styleId="Ttulo1">
    <w:name w:val="heading 1"/>
    <w:basedOn w:val="Normal"/>
    <w:next w:val="Normal"/>
    <w:qFormat/>
    <w:rsid w:val="00B74B88"/>
    <w:pPr>
      <w:keepNext/>
      <w:ind w:left="3969"/>
      <w:jc w:val="both"/>
      <w:outlineLvl w:val="0"/>
    </w:pPr>
    <w:rPr>
      <w:b/>
      <w:szCs w:val="20"/>
      <w:u w:val="single"/>
    </w:rPr>
  </w:style>
  <w:style w:type="paragraph" w:styleId="Ttulo2">
    <w:name w:val="heading 2"/>
    <w:basedOn w:val="Normal"/>
    <w:next w:val="Normal"/>
    <w:qFormat/>
    <w:rsid w:val="00B74B88"/>
    <w:pPr>
      <w:keepNext/>
      <w:keepLines/>
      <w:spacing w:before="360" w:after="80"/>
      <w:outlineLvl w:val="1"/>
    </w:pPr>
    <w:rPr>
      <w:b/>
      <w:sz w:val="36"/>
      <w:szCs w:val="36"/>
    </w:rPr>
  </w:style>
  <w:style w:type="paragraph" w:styleId="Ttulo3">
    <w:name w:val="heading 3"/>
    <w:basedOn w:val="Normal"/>
    <w:next w:val="Normal"/>
    <w:qFormat/>
    <w:rsid w:val="00B74B88"/>
    <w:pPr>
      <w:keepNext/>
      <w:spacing w:before="240" w:after="60"/>
      <w:outlineLvl w:val="2"/>
    </w:pPr>
    <w:rPr>
      <w:rFonts w:ascii="Calibri Light" w:hAnsi="Calibri Light"/>
      <w:b/>
      <w:bCs/>
      <w:sz w:val="26"/>
      <w:szCs w:val="26"/>
    </w:rPr>
  </w:style>
  <w:style w:type="paragraph" w:styleId="Ttulo4">
    <w:name w:val="heading 4"/>
    <w:basedOn w:val="Normal"/>
    <w:next w:val="Normal"/>
    <w:qFormat/>
    <w:rsid w:val="00B74B88"/>
    <w:pPr>
      <w:keepNext/>
      <w:keepLines/>
      <w:spacing w:before="240" w:after="40"/>
      <w:outlineLvl w:val="3"/>
    </w:pPr>
    <w:rPr>
      <w:b/>
    </w:rPr>
  </w:style>
  <w:style w:type="paragraph" w:styleId="Ttulo5">
    <w:name w:val="heading 5"/>
    <w:basedOn w:val="Normal"/>
    <w:next w:val="Normal"/>
    <w:qFormat/>
    <w:rsid w:val="00B74B88"/>
    <w:pPr>
      <w:keepNext/>
      <w:keepLines/>
      <w:spacing w:before="220" w:after="40"/>
      <w:outlineLvl w:val="4"/>
    </w:pPr>
    <w:rPr>
      <w:b/>
      <w:sz w:val="22"/>
      <w:szCs w:val="22"/>
    </w:rPr>
  </w:style>
  <w:style w:type="paragraph" w:styleId="Ttulo6">
    <w:name w:val="heading 6"/>
    <w:basedOn w:val="Normal"/>
    <w:next w:val="Normal"/>
    <w:qFormat/>
    <w:rsid w:val="00B74B88"/>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fim">
    <w:name w:val="endnote reference"/>
    <w:rsid w:val="00B74B88"/>
    <w:rPr>
      <w:vertAlign w:val="superscript"/>
    </w:rPr>
  </w:style>
  <w:style w:type="character" w:styleId="Forte">
    <w:name w:val="Strong"/>
    <w:basedOn w:val="Fontepargpadro"/>
    <w:uiPriority w:val="22"/>
    <w:qFormat/>
    <w:rsid w:val="00B74B88"/>
    <w:rPr>
      <w:b/>
      <w:bCs/>
    </w:rPr>
  </w:style>
  <w:style w:type="character" w:styleId="Refdecomentrio">
    <w:name w:val="annotation reference"/>
    <w:basedOn w:val="Fontepargpadro"/>
    <w:qFormat/>
    <w:rsid w:val="00B74B88"/>
    <w:rPr>
      <w:sz w:val="16"/>
      <w:szCs w:val="16"/>
    </w:rPr>
  </w:style>
  <w:style w:type="character" w:styleId="nfase">
    <w:name w:val="Emphasis"/>
    <w:basedOn w:val="Fontepargpadro"/>
    <w:uiPriority w:val="20"/>
    <w:qFormat/>
    <w:rsid w:val="00B74B88"/>
    <w:rPr>
      <w:i/>
      <w:iCs/>
    </w:rPr>
  </w:style>
  <w:style w:type="character" w:styleId="Refdenotaderodap">
    <w:name w:val="footnote reference"/>
    <w:rsid w:val="00B74B88"/>
    <w:rPr>
      <w:vertAlign w:val="superscript"/>
    </w:rPr>
  </w:style>
  <w:style w:type="character" w:styleId="Hyperlink">
    <w:name w:val="Hyperlink"/>
    <w:basedOn w:val="Fontepargpadro"/>
    <w:uiPriority w:val="99"/>
    <w:unhideWhenUsed/>
    <w:rsid w:val="00B74B88"/>
    <w:rPr>
      <w:color w:val="0000FF" w:themeColor="hyperlink"/>
      <w:u w:val="single"/>
    </w:rPr>
  </w:style>
  <w:style w:type="paragraph" w:styleId="Lista">
    <w:name w:val="List"/>
    <w:basedOn w:val="Corpodetexto"/>
    <w:rsid w:val="00B74B88"/>
    <w:rPr>
      <w:rFonts w:cs="Arial"/>
    </w:rPr>
  </w:style>
  <w:style w:type="paragraph" w:styleId="Corpodetexto">
    <w:name w:val="Body Text"/>
    <w:basedOn w:val="Normal"/>
    <w:rsid w:val="00B74B88"/>
    <w:pPr>
      <w:spacing w:after="140" w:line="276" w:lineRule="auto"/>
    </w:pPr>
  </w:style>
  <w:style w:type="paragraph" w:styleId="Textodecomentrio">
    <w:name w:val="annotation text"/>
    <w:basedOn w:val="Normal"/>
    <w:qFormat/>
    <w:rsid w:val="00B74B88"/>
    <w:rPr>
      <w:sz w:val="20"/>
      <w:szCs w:val="20"/>
    </w:rPr>
  </w:style>
  <w:style w:type="paragraph" w:styleId="Recuodecorpodetexto2">
    <w:name w:val="Body Text Indent 2"/>
    <w:basedOn w:val="Normal"/>
    <w:qFormat/>
    <w:rsid w:val="00B74B88"/>
    <w:pPr>
      <w:ind w:left="1080" w:firstLine="2889"/>
      <w:jc w:val="both"/>
    </w:pPr>
    <w:rPr>
      <w:bCs/>
      <w:sz w:val="25"/>
      <w:szCs w:val="28"/>
    </w:rPr>
  </w:style>
  <w:style w:type="paragraph" w:styleId="Ttulo">
    <w:name w:val="Title"/>
    <w:basedOn w:val="Normal"/>
    <w:next w:val="Corpodetexto"/>
    <w:qFormat/>
    <w:rsid w:val="00B74B88"/>
    <w:pPr>
      <w:keepNext/>
      <w:keepLines/>
      <w:spacing w:before="480" w:after="120"/>
    </w:pPr>
    <w:rPr>
      <w:b/>
      <w:sz w:val="72"/>
      <w:szCs w:val="72"/>
    </w:rPr>
  </w:style>
  <w:style w:type="paragraph" w:styleId="Textodenotadefim">
    <w:name w:val="endnote text"/>
    <w:basedOn w:val="Normal"/>
    <w:link w:val="TextodenotadefimChar"/>
    <w:uiPriority w:val="99"/>
    <w:semiHidden/>
    <w:unhideWhenUsed/>
    <w:qFormat/>
    <w:rsid w:val="00B74B88"/>
    <w:rPr>
      <w:sz w:val="20"/>
      <w:szCs w:val="20"/>
    </w:rPr>
  </w:style>
  <w:style w:type="paragraph" w:styleId="NormalWeb">
    <w:name w:val="Normal (Web)"/>
    <w:basedOn w:val="Normal"/>
    <w:uiPriority w:val="99"/>
    <w:unhideWhenUsed/>
    <w:qFormat/>
    <w:rsid w:val="00B74B88"/>
    <w:pPr>
      <w:spacing w:beforeAutospacing="1" w:afterAutospacing="1"/>
    </w:pPr>
  </w:style>
  <w:style w:type="paragraph" w:styleId="Cabealho">
    <w:name w:val="header"/>
    <w:basedOn w:val="Normal"/>
    <w:uiPriority w:val="99"/>
    <w:qFormat/>
    <w:rsid w:val="00B74B88"/>
    <w:pPr>
      <w:tabs>
        <w:tab w:val="center" w:pos="4252"/>
        <w:tab w:val="right" w:pos="8504"/>
      </w:tabs>
    </w:pPr>
  </w:style>
  <w:style w:type="paragraph" w:styleId="Rodap">
    <w:name w:val="footer"/>
    <w:basedOn w:val="Normal"/>
    <w:qFormat/>
    <w:rsid w:val="00B74B88"/>
    <w:pPr>
      <w:tabs>
        <w:tab w:val="center" w:pos="4252"/>
        <w:tab w:val="right" w:pos="8504"/>
      </w:tabs>
    </w:pPr>
  </w:style>
  <w:style w:type="paragraph" w:styleId="Legenda">
    <w:name w:val="caption"/>
    <w:basedOn w:val="Normal"/>
    <w:qFormat/>
    <w:rsid w:val="00B74B88"/>
    <w:pPr>
      <w:suppressLineNumbers/>
      <w:spacing w:before="120" w:after="120"/>
    </w:pPr>
    <w:rPr>
      <w:rFonts w:cs="Arial"/>
      <w:i/>
      <w:iCs/>
    </w:rPr>
  </w:style>
  <w:style w:type="paragraph" w:styleId="Recuodecorpodetexto3">
    <w:name w:val="Body Text Indent 3"/>
    <w:basedOn w:val="Normal"/>
    <w:qFormat/>
    <w:rsid w:val="00B74B88"/>
    <w:pPr>
      <w:spacing w:after="120"/>
      <w:ind w:left="283"/>
    </w:pPr>
    <w:rPr>
      <w:sz w:val="16"/>
      <w:szCs w:val="16"/>
    </w:rPr>
  </w:style>
  <w:style w:type="paragraph" w:styleId="Textodebalo">
    <w:name w:val="Balloon Text"/>
    <w:basedOn w:val="Normal"/>
    <w:qFormat/>
    <w:rsid w:val="00B74B88"/>
    <w:rPr>
      <w:rFonts w:ascii="Segoe UI" w:hAnsi="Segoe UI"/>
      <w:sz w:val="18"/>
      <w:szCs w:val="18"/>
    </w:rPr>
  </w:style>
  <w:style w:type="paragraph" w:styleId="Subttulo">
    <w:name w:val="Subtitle"/>
    <w:basedOn w:val="Normal"/>
    <w:next w:val="Normal"/>
    <w:qFormat/>
    <w:rsid w:val="00B74B88"/>
    <w:pPr>
      <w:keepNext/>
      <w:keepLines/>
      <w:spacing w:before="360" w:after="80"/>
    </w:pPr>
    <w:rPr>
      <w:rFonts w:ascii="Georgia" w:eastAsia="Georgia" w:hAnsi="Georgia" w:cs="Georgia"/>
      <w:i/>
      <w:color w:val="666666"/>
      <w:sz w:val="48"/>
      <w:szCs w:val="48"/>
    </w:rPr>
  </w:style>
  <w:style w:type="paragraph" w:styleId="Textodenotaderodap">
    <w:name w:val="footnote text"/>
    <w:basedOn w:val="Normal"/>
    <w:link w:val="TextodenotaderodapChar"/>
    <w:uiPriority w:val="99"/>
    <w:semiHidden/>
    <w:unhideWhenUsed/>
    <w:qFormat/>
    <w:rsid w:val="00B74B88"/>
    <w:rPr>
      <w:sz w:val="20"/>
      <w:szCs w:val="20"/>
    </w:rPr>
  </w:style>
  <w:style w:type="paragraph" w:styleId="Recuodecorpodetexto">
    <w:name w:val="Body Text Indent"/>
    <w:basedOn w:val="Normal"/>
    <w:qFormat/>
    <w:rsid w:val="00B74B88"/>
    <w:pPr>
      <w:ind w:left="851" w:firstLine="3118"/>
      <w:jc w:val="both"/>
    </w:pPr>
    <w:rPr>
      <w:sz w:val="28"/>
      <w:szCs w:val="20"/>
    </w:rPr>
  </w:style>
  <w:style w:type="table" w:styleId="Tabelacomgrade">
    <w:name w:val="Table Grid"/>
    <w:basedOn w:val="Tabelanormal"/>
    <w:uiPriority w:val="39"/>
    <w:qFormat/>
    <w:rsid w:val="00B74B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bealhoChar">
    <w:name w:val="Cabeçalho Char"/>
    <w:uiPriority w:val="99"/>
    <w:qFormat/>
    <w:rsid w:val="00B74B88"/>
    <w:rPr>
      <w:w w:val="100"/>
      <w:position w:val="0"/>
      <w:sz w:val="24"/>
      <w:szCs w:val="24"/>
      <w:vertAlign w:val="baseline"/>
    </w:rPr>
  </w:style>
  <w:style w:type="character" w:customStyle="1" w:styleId="RodapChar">
    <w:name w:val="Rodapé Char"/>
    <w:qFormat/>
    <w:rsid w:val="00B74B88"/>
    <w:rPr>
      <w:w w:val="100"/>
      <w:position w:val="0"/>
      <w:sz w:val="24"/>
      <w:szCs w:val="24"/>
      <w:vertAlign w:val="baseline"/>
    </w:rPr>
  </w:style>
  <w:style w:type="character" w:customStyle="1" w:styleId="TextodebaloChar">
    <w:name w:val="Texto de balão Char"/>
    <w:qFormat/>
    <w:rsid w:val="00B74B88"/>
    <w:rPr>
      <w:rFonts w:ascii="Segoe UI" w:hAnsi="Segoe UI" w:cs="Segoe UI"/>
      <w:w w:val="100"/>
      <w:position w:val="0"/>
      <w:sz w:val="18"/>
      <w:szCs w:val="18"/>
      <w:vertAlign w:val="baseline"/>
    </w:rPr>
  </w:style>
  <w:style w:type="character" w:customStyle="1" w:styleId="Ttulo3Char">
    <w:name w:val="Título 3 Char"/>
    <w:qFormat/>
    <w:rsid w:val="00B74B88"/>
    <w:rPr>
      <w:rFonts w:ascii="Calibri Light" w:eastAsia="Times New Roman" w:hAnsi="Calibri Light" w:cs="Times New Roman"/>
      <w:b/>
      <w:bCs/>
      <w:w w:val="100"/>
      <w:position w:val="0"/>
      <w:sz w:val="26"/>
      <w:szCs w:val="26"/>
      <w:vertAlign w:val="baseline"/>
    </w:rPr>
  </w:style>
  <w:style w:type="character" w:customStyle="1" w:styleId="Recuodecorpodetexto3Char">
    <w:name w:val="Recuo de corpo de texto 3 Char"/>
    <w:qFormat/>
    <w:rsid w:val="00B74B88"/>
    <w:rPr>
      <w:w w:val="100"/>
      <w:position w:val="0"/>
      <w:sz w:val="16"/>
      <w:szCs w:val="16"/>
      <w:vertAlign w:val="baseline"/>
    </w:rPr>
  </w:style>
  <w:style w:type="character" w:customStyle="1" w:styleId="TextodenotaderodapChar">
    <w:name w:val="Texto de nota de rodapé Char"/>
    <w:basedOn w:val="Fontepargpadro"/>
    <w:link w:val="Textodenotaderodap"/>
    <w:uiPriority w:val="99"/>
    <w:semiHidden/>
    <w:qFormat/>
    <w:rsid w:val="00B74B88"/>
    <w:rPr>
      <w:sz w:val="20"/>
      <w:szCs w:val="20"/>
      <w:vertAlign w:val="subscript"/>
    </w:rPr>
  </w:style>
  <w:style w:type="character" w:customStyle="1" w:styleId="Caracteresdenotaderodap">
    <w:name w:val="Caracteres de nota de rodapé"/>
    <w:uiPriority w:val="99"/>
    <w:semiHidden/>
    <w:unhideWhenUsed/>
    <w:qFormat/>
    <w:rsid w:val="00B74B88"/>
    <w:rPr>
      <w:vertAlign w:val="superscript"/>
    </w:rPr>
  </w:style>
  <w:style w:type="character" w:customStyle="1" w:styleId="MenoPendente1">
    <w:name w:val="Menção Pendente1"/>
    <w:basedOn w:val="Fontepargpadro"/>
    <w:uiPriority w:val="99"/>
    <w:semiHidden/>
    <w:unhideWhenUsed/>
    <w:qFormat/>
    <w:rsid w:val="00B74B88"/>
    <w:rPr>
      <w:color w:val="605E5C"/>
      <w:shd w:val="clear" w:color="auto" w:fill="E1DFDD"/>
    </w:rPr>
  </w:style>
  <w:style w:type="character" w:customStyle="1" w:styleId="MenoPendente2">
    <w:name w:val="Menção Pendente2"/>
    <w:basedOn w:val="Fontepargpadro"/>
    <w:uiPriority w:val="99"/>
    <w:semiHidden/>
    <w:unhideWhenUsed/>
    <w:qFormat/>
    <w:rsid w:val="00B74B88"/>
    <w:rPr>
      <w:color w:val="605E5C"/>
      <w:shd w:val="clear" w:color="auto" w:fill="E1DFDD"/>
    </w:rPr>
  </w:style>
  <w:style w:type="character" w:customStyle="1" w:styleId="Marcadores">
    <w:name w:val="Marcadores"/>
    <w:qFormat/>
    <w:rsid w:val="00B74B88"/>
    <w:rPr>
      <w:rFonts w:ascii="OpenSymbol" w:eastAsia="OpenSymbol" w:hAnsi="OpenSymbol" w:cs="OpenSymbol"/>
    </w:rPr>
  </w:style>
  <w:style w:type="character" w:customStyle="1" w:styleId="TextodenotadefimChar">
    <w:name w:val="Texto de nota de fim Char"/>
    <w:basedOn w:val="Fontepargpadro"/>
    <w:link w:val="Textodenotadefim"/>
    <w:uiPriority w:val="99"/>
    <w:semiHidden/>
    <w:qFormat/>
    <w:rsid w:val="00B74B88"/>
    <w:rPr>
      <w:sz w:val="20"/>
      <w:szCs w:val="20"/>
    </w:rPr>
  </w:style>
  <w:style w:type="character" w:customStyle="1" w:styleId="Caracteresdenotadefim">
    <w:name w:val="Caracteres de nota de fim"/>
    <w:uiPriority w:val="99"/>
    <w:semiHidden/>
    <w:unhideWhenUsed/>
    <w:qFormat/>
    <w:rsid w:val="00B74B88"/>
    <w:rPr>
      <w:vertAlign w:val="superscript"/>
    </w:rPr>
  </w:style>
  <w:style w:type="character" w:customStyle="1" w:styleId="Smbolosdenumerao">
    <w:name w:val="Símbolos de numeração"/>
    <w:qFormat/>
    <w:rsid w:val="00B74B88"/>
  </w:style>
  <w:style w:type="character" w:customStyle="1" w:styleId="UnresolvedMention">
    <w:name w:val="Unresolved Mention"/>
    <w:basedOn w:val="Fontepargpadro"/>
    <w:qFormat/>
    <w:rsid w:val="00B74B88"/>
    <w:rPr>
      <w:color w:val="605E5C"/>
      <w:shd w:val="clear" w:color="auto" w:fill="E1DFDD"/>
    </w:rPr>
  </w:style>
  <w:style w:type="character" w:customStyle="1" w:styleId="TextodecomentrioChar">
    <w:name w:val="Texto de comentário Char"/>
    <w:basedOn w:val="Fontepargpadro"/>
    <w:qFormat/>
    <w:rsid w:val="00B74B88"/>
    <w:rPr>
      <w:rFonts w:eastAsia="Times New Roman" w:cs="Times New Roman"/>
      <w:sz w:val="20"/>
      <w:szCs w:val="20"/>
    </w:rPr>
  </w:style>
  <w:style w:type="paragraph" w:customStyle="1" w:styleId="ndice">
    <w:name w:val="Índice"/>
    <w:basedOn w:val="Normal"/>
    <w:qFormat/>
    <w:rsid w:val="00B74B88"/>
    <w:pPr>
      <w:suppressLineNumbers/>
    </w:pPr>
    <w:rPr>
      <w:rFonts w:cs="Arial"/>
    </w:rPr>
  </w:style>
  <w:style w:type="paragraph" w:customStyle="1" w:styleId="Ttulouser">
    <w:name w:val="Título (user)"/>
    <w:basedOn w:val="Normal"/>
    <w:next w:val="Corpodetexto"/>
    <w:qFormat/>
    <w:rsid w:val="00B74B88"/>
    <w:pPr>
      <w:keepNext/>
      <w:spacing w:before="240" w:after="120"/>
    </w:pPr>
    <w:rPr>
      <w:rFonts w:ascii="Liberation Sans" w:eastAsia="Microsoft YaHei" w:hAnsi="Liberation Sans" w:cs="Arial"/>
      <w:sz w:val="28"/>
      <w:szCs w:val="28"/>
    </w:rPr>
  </w:style>
  <w:style w:type="paragraph" w:customStyle="1" w:styleId="ndiceuser">
    <w:name w:val="Índice (user)"/>
    <w:basedOn w:val="Normal"/>
    <w:qFormat/>
    <w:rsid w:val="00B74B88"/>
    <w:pPr>
      <w:suppressLineNumbers/>
    </w:pPr>
    <w:rPr>
      <w:rFonts w:cs="Arial"/>
    </w:rPr>
  </w:style>
  <w:style w:type="paragraph" w:customStyle="1" w:styleId="caption1">
    <w:name w:val="caption1"/>
    <w:basedOn w:val="Normal"/>
    <w:qFormat/>
    <w:rsid w:val="00B74B88"/>
    <w:pPr>
      <w:suppressLineNumbers/>
      <w:spacing w:before="120" w:after="120"/>
    </w:pPr>
    <w:rPr>
      <w:rFonts w:cs="Arial"/>
      <w:i/>
      <w:iCs/>
    </w:rPr>
  </w:style>
  <w:style w:type="paragraph" w:customStyle="1" w:styleId="caption11">
    <w:name w:val="caption11"/>
    <w:basedOn w:val="Normal"/>
    <w:qFormat/>
    <w:rsid w:val="00B74B88"/>
    <w:pPr>
      <w:suppressLineNumbers/>
      <w:spacing w:before="120" w:after="120"/>
    </w:pPr>
    <w:rPr>
      <w:rFonts w:cs="Arial"/>
      <w:i/>
      <w:iCs/>
    </w:rPr>
  </w:style>
  <w:style w:type="paragraph" w:customStyle="1" w:styleId="caption111">
    <w:name w:val="caption111"/>
    <w:basedOn w:val="Normal"/>
    <w:qFormat/>
    <w:rsid w:val="00B74B88"/>
    <w:pPr>
      <w:suppressLineNumbers/>
      <w:spacing w:before="120" w:after="120"/>
    </w:pPr>
    <w:rPr>
      <w:rFonts w:cs="Arial"/>
      <w:i/>
      <w:iCs/>
    </w:rPr>
  </w:style>
  <w:style w:type="paragraph" w:customStyle="1" w:styleId="CabealhoeRodap">
    <w:name w:val="Cabeçalho e Rodapé"/>
    <w:basedOn w:val="Normal"/>
    <w:qFormat/>
    <w:rsid w:val="00B74B88"/>
  </w:style>
  <w:style w:type="paragraph" w:customStyle="1" w:styleId="Cabealhoerodap1">
    <w:name w:val="Cabeçalho e rodapé1"/>
    <w:basedOn w:val="Normal"/>
    <w:qFormat/>
    <w:rsid w:val="00B74B88"/>
  </w:style>
  <w:style w:type="paragraph" w:customStyle="1" w:styleId="Cabealhoerodap2">
    <w:name w:val="Cabeçalho e rodapé2"/>
    <w:basedOn w:val="Normal"/>
    <w:qFormat/>
    <w:rsid w:val="00B74B88"/>
  </w:style>
  <w:style w:type="paragraph" w:customStyle="1" w:styleId="Cabealhoerodap3">
    <w:name w:val="Cabeçalho e rodapé3"/>
    <w:basedOn w:val="Normal"/>
    <w:qFormat/>
    <w:rsid w:val="00B74B88"/>
  </w:style>
  <w:style w:type="paragraph" w:customStyle="1" w:styleId="Cabealhoerodap4">
    <w:name w:val="Cabeçalho e rodapé4"/>
    <w:basedOn w:val="Normal"/>
    <w:qFormat/>
    <w:rsid w:val="00B74B88"/>
  </w:style>
  <w:style w:type="paragraph" w:customStyle="1" w:styleId="Cabealhoerodap5">
    <w:name w:val="Cabeçalho e rodapé5"/>
    <w:basedOn w:val="Normal"/>
    <w:qFormat/>
    <w:rsid w:val="00B74B88"/>
  </w:style>
  <w:style w:type="paragraph" w:customStyle="1" w:styleId="Cabealhoerodap6">
    <w:name w:val="Cabeçalho e rodapé6"/>
    <w:basedOn w:val="Normal"/>
    <w:qFormat/>
    <w:rsid w:val="00B74B88"/>
  </w:style>
  <w:style w:type="paragraph" w:customStyle="1" w:styleId="Cabealhoerodap7">
    <w:name w:val="Cabeçalho e rodapé7"/>
    <w:basedOn w:val="Normal"/>
    <w:qFormat/>
    <w:rsid w:val="00B74B88"/>
  </w:style>
  <w:style w:type="paragraph" w:customStyle="1" w:styleId="Cabealhoerodap8">
    <w:name w:val="Cabeçalho e rodapé8"/>
    <w:basedOn w:val="Normal"/>
    <w:qFormat/>
    <w:rsid w:val="00B74B88"/>
  </w:style>
  <w:style w:type="paragraph" w:customStyle="1" w:styleId="Cabealhoerodap9">
    <w:name w:val="Cabeçalho e rodapé9"/>
    <w:basedOn w:val="Normal"/>
    <w:qFormat/>
    <w:rsid w:val="00B74B88"/>
  </w:style>
  <w:style w:type="paragraph" w:customStyle="1" w:styleId="Cabealhoerodap10">
    <w:name w:val="Cabeçalho e rodapé10"/>
    <w:basedOn w:val="Normal"/>
    <w:qFormat/>
    <w:rsid w:val="00B74B88"/>
  </w:style>
  <w:style w:type="paragraph" w:customStyle="1" w:styleId="Cabealhoerodap11">
    <w:name w:val="Cabeçalho e rodapé11"/>
    <w:basedOn w:val="Normal"/>
    <w:qFormat/>
    <w:rsid w:val="00B74B88"/>
  </w:style>
  <w:style w:type="paragraph" w:customStyle="1" w:styleId="Cabealhoerodap12">
    <w:name w:val="Cabeçalho e rodapé12"/>
    <w:basedOn w:val="Normal"/>
    <w:qFormat/>
    <w:rsid w:val="00B74B88"/>
  </w:style>
  <w:style w:type="paragraph" w:customStyle="1" w:styleId="Cabealhoerodap13">
    <w:name w:val="Cabeçalho e rodapé13"/>
    <w:basedOn w:val="Normal"/>
    <w:qFormat/>
    <w:rsid w:val="00B74B88"/>
  </w:style>
  <w:style w:type="paragraph" w:customStyle="1" w:styleId="Default">
    <w:name w:val="Default"/>
    <w:qFormat/>
    <w:rsid w:val="00B74B88"/>
    <w:pPr>
      <w:suppressAutoHyphens/>
      <w:spacing w:line="1" w:lineRule="atLeast"/>
      <w:ind w:left="-1" w:hanging="1"/>
      <w:textAlignment w:val="top"/>
      <w:outlineLvl w:val="0"/>
    </w:pPr>
    <w:rPr>
      <w:rFonts w:ascii="Nyala" w:eastAsia="Calibri" w:hAnsi="Nyala" w:cs="Nyala"/>
      <w:color w:val="000000"/>
      <w:position w:val="-1"/>
      <w:sz w:val="24"/>
      <w:szCs w:val="24"/>
      <w:lang w:eastAsia="en-US"/>
    </w:rPr>
  </w:style>
  <w:style w:type="paragraph" w:styleId="PargrafodaLista">
    <w:name w:val="List Paragraph"/>
    <w:basedOn w:val="Normal"/>
    <w:uiPriority w:val="34"/>
    <w:qFormat/>
    <w:rsid w:val="00B74B88"/>
    <w:pPr>
      <w:ind w:left="720"/>
      <w:contextualSpacing/>
    </w:pPr>
  </w:style>
  <w:style w:type="paragraph" w:customStyle="1" w:styleId="LO-Normal">
    <w:name w:val="LO-Normal"/>
    <w:qFormat/>
    <w:rsid w:val="00B74B88"/>
    <w:pPr>
      <w:widowControl w:val="0"/>
      <w:suppressAutoHyphens/>
      <w:textAlignment w:val="baseline"/>
    </w:pPr>
    <w:rPr>
      <w:rFonts w:cs="Tahoma"/>
      <w:kern w:val="2"/>
      <w:sz w:val="24"/>
      <w:szCs w:val="24"/>
      <w:lang w:eastAsia="hi-IN" w:bidi="hi-IN"/>
    </w:rPr>
  </w:style>
  <w:style w:type="paragraph" w:customStyle="1" w:styleId="TableParagraph">
    <w:name w:val="Table Paragraph"/>
    <w:basedOn w:val="Normal"/>
    <w:uiPriority w:val="1"/>
    <w:qFormat/>
    <w:rsid w:val="00B74B88"/>
    <w:pPr>
      <w:widowControl w:val="0"/>
    </w:pPr>
    <w:rPr>
      <w:sz w:val="22"/>
      <w:szCs w:val="22"/>
      <w:lang w:val="pt-PT" w:eastAsia="en-US"/>
    </w:rPr>
  </w:style>
  <w:style w:type="paragraph" w:customStyle="1" w:styleId="Contedodoquadrouser">
    <w:name w:val="Conteúdo do quadro (user)"/>
    <w:basedOn w:val="Normal"/>
    <w:qFormat/>
    <w:rsid w:val="00B74B88"/>
  </w:style>
  <w:style w:type="paragraph" w:customStyle="1" w:styleId="Contedodatabelauser">
    <w:name w:val="Conteúdo da tabela (user)"/>
    <w:basedOn w:val="Normal"/>
    <w:qFormat/>
    <w:rsid w:val="00B74B88"/>
    <w:pPr>
      <w:widowControl w:val="0"/>
      <w:suppressLineNumbers/>
    </w:pPr>
  </w:style>
  <w:style w:type="paragraph" w:customStyle="1" w:styleId="Ttulodetabelauser">
    <w:name w:val="Título de tabela (user)"/>
    <w:basedOn w:val="Contedodatabelauser"/>
    <w:qFormat/>
    <w:rsid w:val="00B74B88"/>
    <w:pPr>
      <w:jc w:val="center"/>
    </w:pPr>
    <w:rPr>
      <w:b/>
      <w:bCs/>
    </w:rPr>
  </w:style>
  <w:style w:type="paragraph" w:customStyle="1" w:styleId="Blocodecitaouser">
    <w:name w:val="Bloco de citação (user)"/>
    <w:basedOn w:val="Normal"/>
    <w:qFormat/>
    <w:rsid w:val="00B74B88"/>
    <w:pPr>
      <w:spacing w:after="283"/>
      <w:ind w:left="567" w:right="567"/>
    </w:pPr>
  </w:style>
  <w:style w:type="paragraph" w:customStyle="1" w:styleId="Contedodoquadro">
    <w:name w:val="Conteúdo do quadro"/>
    <w:basedOn w:val="Normal"/>
    <w:qFormat/>
    <w:rsid w:val="00B74B88"/>
  </w:style>
  <w:style w:type="paragraph" w:customStyle="1" w:styleId="Contedodatabela">
    <w:name w:val="Conteúdo da tabela"/>
    <w:basedOn w:val="Normal"/>
    <w:qFormat/>
    <w:rsid w:val="00B74B88"/>
    <w:pPr>
      <w:widowControl w:val="0"/>
      <w:suppressLineNumbers/>
    </w:pPr>
  </w:style>
  <w:style w:type="paragraph" w:customStyle="1" w:styleId="Ttulodetabela">
    <w:name w:val="Título de tabela"/>
    <w:basedOn w:val="Contedodatabela"/>
    <w:qFormat/>
    <w:rsid w:val="00B74B88"/>
    <w:pPr>
      <w:jc w:val="center"/>
    </w:pPr>
    <w:rPr>
      <w:b/>
      <w:bCs/>
    </w:rPr>
  </w:style>
  <w:style w:type="paragraph" w:customStyle="1" w:styleId="Cabealhoerodap51">
    <w:name w:val="Cabeçalho e rodapé51"/>
    <w:basedOn w:val="Normal"/>
    <w:qFormat/>
    <w:rsid w:val="00B74B88"/>
  </w:style>
  <w:style w:type="paragraph" w:customStyle="1" w:styleId="Cabealhoerodap41">
    <w:name w:val="Cabeçalho e rodapé41"/>
    <w:basedOn w:val="Normal"/>
    <w:qFormat/>
    <w:rsid w:val="00B74B88"/>
  </w:style>
  <w:style w:type="table" w:customStyle="1" w:styleId="TableNormal">
    <w:name w:val="Table Normal"/>
    <w:qFormat/>
    <w:rsid w:val="00B74B88"/>
    <w:tblPr>
      <w:tblCellMar>
        <w:top w:w="0" w:type="dxa"/>
        <w:left w:w="0" w:type="dxa"/>
        <w:bottom w:w="0" w:type="dxa"/>
        <w:right w:w="0" w:type="dxa"/>
      </w:tblCellMar>
    </w:tblPr>
  </w:style>
  <w:style w:type="table" w:customStyle="1" w:styleId="TableNormal1">
    <w:name w:val="Table Normal1"/>
    <w:qFormat/>
    <w:rsid w:val="00B74B88"/>
    <w:tblPr>
      <w:tblCellMar>
        <w:top w:w="0" w:type="dxa"/>
        <w:left w:w="0" w:type="dxa"/>
        <w:bottom w:w="0" w:type="dxa"/>
        <w:right w:w="0" w:type="dxa"/>
      </w:tblCellMar>
    </w:tblPr>
  </w:style>
  <w:style w:type="table" w:customStyle="1" w:styleId="TableNormal3">
    <w:name w:val="Table Normal3"/>
    <w:uiPriority w:val="2"/>
    <w:semiHidden/>
    <w:unhideWhenUsed/>
    <w:qFormat/>
    <w:rsid w:val="00B74B88"/>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elacomgrade1">
    <w:name w:val="Tabela com grade1"/>
    <w:basedOn w:val="Tabelanormal"/>
    <w:uiPriority w:val="39"/>
    <w:qFormat/>
    <w:rsid w:val="00B74B88"/>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r">
    <w:name w:val="adr"/>
    <w:basedOn w:val="Fontepargpadro"/>
    <w:qFormat/>
    <w:rsid w:val="00B74B88"/>
  </w:style>
</w:styles>
</file>

<file path=word/webSettings.xml><?xml version="1.0" encoding="utf-8"?>
<w:webSettings xmlns:r="http://schemas.openxmlformats.org/officeDocument/2006/relationships" xmlns:w="http://schemas.openxmlformats.org/wordprocessingml/2006/main">
  <w:divs>
    <w:div w:id="486829010">
      <w:bodyDiv w:val="1"/>
      <w:marLeft w:val="0"/>
      <w:marRight w:val="0"/>
      <w:marTop w:val="0"/>
      <w:marBottom w:val="0"/>
      <w:divBdr>
        <w:top w:val="none" w:sz="0" w:space="0" w:color="auto"/>
        <w:left w:val="none" w:sz="0" w:space="0" w:color="auto"/>
        <w:bottom w:val="none" w:sz="0" w:space="0" w:color="auto"/>
        <w:right w:val="none" w:sz="0" w:space="0" w:color="auto"/>
      </w:divBdr>
    </w:div>
    <w:div w:id="879514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3.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54886E50-CEFB-4AC9-9E7C-A385D7CBF40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9152</Words>
  <Characters>49424</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Computador</cp:lastModifiedBy>
  <cp:revision>6</cp:revision>
  <cp:lastPrinted>2025-04-24T14:40:00Z</cp:lastPrinted>
  <dcterms:created xsi:type="dcterms:W3CDTF">2025-08-29T14:23:00Z</dcterms:created>
  <dcterms:modified xsi:type="dcterms:W3CDTF">2025-09-08T12:40:00Z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1046-12.2.0.21931</vt:lpwstr>
  </property>
  <property fmtid="{D5CDD505-2E9C-101B-9397-08002B2CF9AE}" pid="3" name="ICV">
    <vt:lpwstr>DEDE94B5D65745E4BD3C5248B0C4B70C_13</vt:lpwstr>
  </property>
</Properties>
</file>